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E75D" w14:textId="35B2F9E1" w:rsidR="00510206" w:rsidRPr="00391FB8" w:rsidRDefault="004E3993" w:rsidP="00516E9A">
      <w:pPr>
        <w:pStyle w:val="Ttulo"/>
        <w:spacing w:before="360" w:line="276" w:lineRule="auto"/>
        <w:rPr>
          <w:sz w:val="24"/>
          <w:szCs w:val="24"/>
        </w:rPr>
      </w:pPr>
      <w:r w:rsidRPr="00391FB8">
        <w:rPr>
          <w:sz w:val="24"/>
          <w:szCs w:val="24"/>
        </w:rPr>
        <w:t>TÍTULO DE LA SINOPSIS</w:t>
      </w:r>
      <w:r w:rsidR="00BE4107" w:rsidRPr="00391FB8">
        <w:rPr>
          <w:sz w:val="24"/>
          <w:szCs w:val="24"/>
        </w:rPr>
        <w:t xml:space="preserve"> (</w:t>
      </w:r>
      <w:r w:rsidR="00E232B4" w:rsidRPr="00391FB8">
        <w:rPr>
          <w:sz w:val="24"/>
          <w:szCs w:val="24"/>
        </w:rPr>
        <w:t>Arial/Arial Nova</w:t>
      </w:r>
      <w:r w:rsidR="00BE4107" w:rsidRPr="00391FB8">
        <w:rPr>
          <w:sz w:val="24"/>
          <w:szCs w:val="24"/>
        </w:rPr>
        <w:t>,</w:t>
      </w:r>
      <w:r w:rsidR="00E739BC" w:rsidRPr="00391FB8">
        <w:rPr>
          <w:sz w:val="24"/>
          <w:szCs w:val="24"/>
        </w:rPr>
        <w:t xml:space="preserve"> </w:t>
      </w:r>
      <w:r w:rsidR="00BE4107" w:rsidRPr="00391FB8">
        <w:rPr>
          <w:sz w:val="24"/>
          <w:szCs w:val="24"/>
        </w:rPr>
        <w:t>1</w:t>
      </w:r>
      <w:r w:rsidR="002A646E" w:rsidRPr="00391FB8">
        <w:rPr>
          <w:sz w:val="24"/>
          <w:szCs w:val="24"/>
        </w:rPr>
        <w:t>2</w:t>
      </w:r>
      <w:r w:rsidR="00BE4107" w:rsidRPr="00391FB8">
        <w:rPr>
          <w:sz w:val="24"/>
          <w:szCs w:val="24"/>
        </w:rPr>
        <w:t xml:space="preserve"> pt, negrit</w:t>
      </w:r>
      <w:r w:rsidR="00E24E24" w:rsidRPr="00391FB8">
        <w:rPr>
          <w:sz w:val="24"/>
          <w:szCs w:val="24"/>
        </w:rPr>
        <w:t>a</w:t>
      </w:r>
      <w:r w:rsidR="00BE4107" w:rsidRPr="00391FB8">
        <w:rPr>
          <w:sz w:val="24"/>
          <w:szCs w:val="24"/>
        </w:rPr>
        <w:t>)</w:t>
      </w:r>
    </w:p>
    <w:p w14:paraId="63D65EFD" w14:textId="229B315B" w:rsidR="00447D25" w:rsidRPr="00391FB8" w:rsidRDefault="008446B2" w:rsidP="00516E9A">
      <w:pPr>
        <w:pStyle w:val="Autores"/>
        <w:spacing w:line="276" w:lineRule="auto"/>
        <w:rPr>
          <w:b w:val="0"/>
          <w:bCs w:val="0"/>
        </w:rPr>
      </w:pPr>
      <w:r w:rsidRPr="00391FB8">
        <w:rPr>
          <w:b w:val="0"/>
          <w:bCs w:val="0"/>
        </w:rPr>
        <w:t xml:space="preserve">Autor </w:t>
      </w:r>
      <w:r w:rsidR="00177734" w:rsidRPr="00391FB8">
        <w:rPr>
          <w:b w:val="0"/>
          <w:bCs w:val="0"/>
        </w:rPr>
        <w:t>A</w:t>
      </w:r>
      <w:r w:rsidR="00177734" w:rsidRPr="00391FB8">
        <w:rPr>
          <w:b w:val="0"/>
          <w:bCs w:val="0"/>
          <w:vertAlign w:val="superscript"/>
        </w:rPr>
        <w:t>1</w:t>
      </w:r>
      <w:r w:rsidR="006A3494" w:rsidRPr="00391FB8">
        <w:rPr>
          <w:b w:val="0"/>
          <w:bCs w:val="0"/>
          <w:vertAlign w:val="superscript"/>
        </w:rPr>
        <w:t>*</w:t>
      </w:r>
      <w:r w:rsidR="00447D25" w:rsidRPr="00391FB8">
        <w:rPr>
          <w:b w:val="0"/>
          <w:bCs w:val="0"/>
          <w:vertAlign w:val="superscript"/>
        </w:rPr>
        <w:t>,2</w:t>
      </w:r>
      <w:r w:rsidR="00177734" w:rsidRPr="00391FB8">
        <w:rPr>
          <w:b w:val="0"/>
          <w:bCs w:val="0"/>
        </w:rPr>
        <w:t>, Autor B</w:t>
      </w:r>
      <w:r w:rsidR="001A7D42" w:rsidRPr="00391FB8">
        <w:rPr>
          <w:b w:val="0"/>
          <w:bCs w:val="0"/>
          <w:vertAlign w:val="superscript"/>
        </w:rPr>
        <w:t>2</w:t>
      </w:r>
      <w:r w:rsidR="00BE1175" w:rsidRPr="00391FB8">
        <w:rPr>
          <w:b w:val="0"/>
          <w:bCs w:val="0"/>
        </w:rPr>
        <w:t xml:space="preserve"> (</w:t>
      </w:r>
      <w:r w:rsidR="00E232B4" w:rsidRPr="00391FB8">
        <w:rPr>
          <w:b w:val="0"/>
          <w:bCs w:val="0"/>
        </w:rPr>
        <w:t>Arial/Arial Nova</w:t>
      </w:r>
      <w:r w:rsidR="00BE1175" w:rsidRPr="00391FB8">
        <w:rPr>
          <w:b w:val="0"/>
          <w:bCs w:val="0"/>
        </w:rPr>
        <w:t>, 1</w:t>
      </w:r>
      <w:r w:rsidR="002A646E" w:rsidRPr="00391FB8">
        <w:rPr>
          <w:b w:val="0"/>
          <w:bCs w:val="0"/>
        </w:rPr>
        <w:t>2</w:t>
      </w:r>
      <w:r w:rsidR="00BE1175" w:rsidRPr="00391FB8">
        <w:rPr>
          <w:b w:val="0"/>
          <w:bCs w:val="0"/>
        </w:rPr>
        <w:t xml:space="preserve"> p</w:t>
      </w:r>
      <w:r w:rsidR="001F711E" w:rsidRPr="00391FB8">
        <w:rPr>
          <w:b w:val="0"/>
          <w:bCs w:val="0"/>
        </w:rPr>
        <w:t>t</w:t>
      </w:r>
      <w:r w:rsidR="00BE1175" w:rsidRPr="00391FB8">
        <w:rPr>
          <w:b w:val="0"/>
          <w:bCs w:val="0"/>
        </w:rPr>
        <w:t>)</w:t>
      </w:r>
    </w:p>
    <w:p w14:paraId="5F712CC3" w14:textId="7336B83E" w:rsidR="00E232B4" w:rsidRPr="00391FB8" w:rsidRDefault="00CD5EE8" w:rsidP="00516E9A">
      <w:pPr>
        <w:pStyle w:val="Afiliaciones"/>
        <w:spacing w:line="276" w:lineRule="auto"/>
      </w:pPr>
      <w:r w:rsidRPr="00391FB8">
        <w:rPr>
          <w:b/>
          <w:color w:val="195C6B"/>
          <w:vertAlign w:val="superscript"/>
        </w:rPr>
        <w:t>1</w:t>
      </w:r>
      <w:r w:rsidR="000744E7" w:rsidRPr="00391FB8">
        <w:t>Afiliación</w:t>
      </w:r>
      <w:r w:rsidR="002A646E" w:rsidRPr="00391FB8">
        <w:t>, dirección</w:t>
      </w:r>
      <w:r w:rsidR="00421E85" w:rsidRPr="00391FB8">
        <w:t xml:space="preserve"> (</w:t>
      </w:r>
      <w:r w:rsidR="00E232B4" w:rsidRPr="00391FB8">
        <w:t>Arial/Arial Nova</w:t>
      </w:r>
      <w:r w:rsidR="00BE1175" w:rsidRPr="00391FB8">
        <w:t>,</w:t>
      </w:r>
      <w:r w:rsidR="00E739BC" w:rsidRPr="00391FB8">
        <w:t xml:space="preserve"> </w:t>
      </w:r>
      <w:r w:rsidR="00BE1175" w:rsidRPr="00391FB8">
        <w:t>1</w:t>
      </w:r>
      <w:r w:rsidR="001D4FF3" w:rsidRPr="00391FB8">
        <w:t>0</w:t>
      </w:r>
      <w:r w:rsidR="00BE1175" w:rsidRPr="00391FB8">
        <w:t xml:space="preserve"> pt)</w:t>
      </w:r>
      <w:r w:rsidR="005501E2" w:rsidRPr="00391FB8">
        <w:t>.</w:t>
      </w:r>
    </w:p>
    <w:p w14:paraId="495773E3" w14:textId="69F89506" w:rsidR="00CD5EE8" w:rsidRPr="00391FB8" w:rsidRDefault="00CD5EE8" w:rsidP="00516E9A">
      <w:pPr>
        <w:pStyle w:val="Afiliaciones"/>
        <w:spacing w:line="276" w:lineRule="auto"/>
      </w:pPr>
      <w:r w:rsidRPr="00391FB8">
        <w:rPr>
          <w:b/>
          <w:color w:val="195C6B"/>
          <w:vertAlign w:val="superscript"/>
        </w:rPr>
        <w:t>2</w:t>
      </w:r>
      <w:r w:rsidR="00D76E3E" w:rsidRPr="00391FB8">
        <w:t>Afiliación</w:t>
      </w:r>
      <w:r w:rsidR="002A646E" w:rsidRPr="00391FB8">
        <w:t>, dirección</w:t>
      </w:r>
      <w:r w:rsidR="00D76E3E" w:rsidRPr="00391FB8">
        <w:t xml:space="preserve"> (empresa / universidad </w:t>
      </w:r>
      <w:r w:rsidR="001F711E" w:rsidRPr="00391FB8">
        <w:t>/ centro de investigación</w:t>
      </w:r>
      <w:r w:rsidR="00D76E3E" w:rsidRPr="00391FB8">
        <w:t>)</w:t>
      </w:r>
      <w:r w:rsidR="00800275" w:rsidRPr="00391FB8">
        <w:t>.</w:t>
      </w:r>
    </w:p>
    <w:p w14:paraId="10AD7FDB" w14:textId="54777B4C" w:rsidR="00E232B4" w:rsidRPr="00391FB8" w:rsidRDefault="006A3494" w:rsidP="00516E9A">
      <w:pPr>
        <w:pStyle w:val="Emaildecontacto"/>
        <w:spacing w:before="240" w:after="240" w:line="276" w:lineRule="auto"/>
      </w:pPr>
      <w:r w:rsidRPr="00391FB8">
        <w:t>*</w:t>
      </w:r>
      <w:r w:rsidR="00CD5EE8" w:rsidRPr="00391FB8">
        <w:t>E-mail de contacto del autor principal</w:t>
      </w:r>
      <w:r w:rsidR="002A646E" w:rsidRPr="00391FB8">
        <w:t xml:space="preserve"> (Arial/Arial Nova, 10 pt)</w:t>
      </w:r>
    </w:p>
    <w:p w14:paraId="440A6115" w14:textId="0F03FF41" w:rsidR="00E02D50" w:rsidRPr="00391FB8" w:rsidRDefault="0081107A" w:rsidP="00516E9A">
      <w:pPr>
        <w:pStyle w:val="Ttulo4"/>
      </w:pPr>
      <w:r w:rsidRPr="00391FB8">
        <w:t>Sinopsis</w:t>
      </w:r>
    </w:p>
    <w:p w14:paraId="6DF9D9B0" w14:textId="25212675" w:rsidR="00196A7F" w:rsidRPr="00391FB8" w:rsidRDefault="00196A7F" w:rsidP="00196A7F">
      <w:pPr>
        <w:spacing w:line="276" w:lineRule="auto"/>
        <w:rPr>
          <w:lang w:val="es-ES"/>
        </w:rPr>
      </w:pPr>
      <w:r w:rsidRPr="00391FB8">
        <w:rPr>
          <w:rFonts w:ascii="Arial Nova" w:hAnsi="Arial Nova"/>
          <w:lang w:val="es-ES"/>
        </w:rPr>
        <mc:AlternateContent>
          <mc:Choice Requires="wps">
            <w:drawing>
              <wp:inline distT="0" distB="0" distL="0" distR="0" wp14:anchorId="03CD112D" wp14:editId="6D18A770">
                <wp:extent cx="5915660" cy="0"/>
                <wp:effectExtent l="0" t="0" r="0" b="0"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95C6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45F633" id="Conector recto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" strokecolor="#195c6b" strokeweight="1.5pt">
                <v:stroke joinstyle="miter"/>
                <w10:anchorlock/>
              </v:line>
            </w:pict>
          </mc:Fallback>
        </mc:AlternateContent>
      </w:r>
    </w:p>
    <w:p w14:paraId="17F4E22F" w14:textId="7BD3D43D" w:rsidR="00451E46" w:rsidRPr="00391FB8" w:rsidRDefault="008F1D5B" w:rsidP="00D539A1">
      <w:pPr>
        <w:pStyle w:val="Textodesinopsis"/>
        <w:spacing w:after="240"/>
      </w:pPr>
      <w:r w:rsidRPr="00391FB8">
        <w:t>Se ruega a todos los autores leer el documento de instrucciones a ponentes que encontrarán en la página web de la Reunión Anual, dentro de la sección «ponencias».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C4F4B" w:rsidRPr="00391FB8" w14:paraId="7853DFF1" w14:textId="77777777" w:rsidTr="000D239A">
        <w:tc>
          <w:tcPr>
            <w:tcW w:w="9350" w:type="dxa"/>
            <w:shd w:val="clear" w:color="auto" w:fill="C5E9F1"/>
            <w:vAlign w:val="center"/>
          </w:tcPr>
          <w:p w14:paraId="16AFFB99" w14:textId="3C7115CF" w:rsidR="005C4F4B" w:rsidRPr="00391FB8" w:rsidRDefault="00D539A1" w:rsidP="00D539A1">
            <w:pPr>
              <w:pStyle w:val="Textodesinopsis"/>
              <w:spacing w:line="240" w:lineRule="auto"/>
            </w:pPr>
            <w:r w:rsidRPr="00391FB8">
              <w:t xml:space="preserve">Para facilitar el trabajo de colocación de ponencias en diferentes áreas temáticas, se ruega a los autores leer </w:t>
            </w:r>
            <w:r w:rsidR="00E72436">
              <w:t xml:space="preserve">la </w:t>
            </w:r>
            <w:r w:rsidR="007C6B71">
              <w:t>tabla en las últimas páginas de la presente plantilla</w:t>
            </w:r>
            <w:r w:rsidRPr="00391FB8">
              <w:t xml:space="preserve"> donde encontrarán una descripción orientativa del contenido esperado en cada área técnica.</w:t>
            </w:r>
          </w:p>
        </w:tc>
      </w:tr>
    </w:tbl>
    <w:p w14:paraId="12B9B6CF" w14:textId="630D963B" w:rsidR="0081107A" w:rsidRPr="00391FB8" w:rsidRDefault="0081107A" w:rsidP="00D539A1">
      <w:pPr>
        <w:pStyle w:val="Textodesinopsis"/>
        <w:spacing w:before="240"/>
      </w:pPr>
      <w:r w:rsidRPr="00391FB8">
        <w:t xml:space="preserve">Las sinopsis deben estar en </w:t>
      </w:r>
      <w:r w:rsidRPr="00391FB8">
        <w:rPr>
          <w:b/>
          <w:bCs/>
        </w:rPr>
        <w:t>formato</w:t>
      </w:r>
      <w:r w:rsidR="001F711E" w:rsidRPr="00391FB8">
        <w:rPr>
          <w:b/>
          <w:bCs/>
        </w:rPr>
        <w:t xml:space="preserve"> PDF</w:t>
      </w:r>
      <w:r w:rsidRPr="00391FB8">
        <w:rPr>
          <w:b/>
          <w:bCs/>
        </w:rPr>
        <w:t>.</w:t>
      </w:r>
      <w:r w:rsidRPr="00391FB8">
        <w:t xml:space="preserve"> </w:t>
      </w:r>
      <w:r w:rsidR="00710EEE" w:rsidRPr="00391FB8">
        <w:rPr>
          <w:b/>
          <w:bCs/>
          <w:u w:val="single"/>
        </w:rPr>
        <w:t>Utiliza títulos cortos que no excedan las 7 palabras</w:t>
      </w:r>
      <w:r w:rsidR="00E14499" w:rsidRPr="00391FB8">
        <w:rPr>
          <w:b/>
          <w:bCs/>
          <w:u w:val="single"/>
        </w:rPr>
        <w:t xml:space="preserve"> sin contar preposiciones ni artículos</w:t>
      </w:r>
      <w:r w:rsidR="00710EEE" w:rsidRPr="00391FB8">
        <w:t xml:space="preserve">. </w:t>
      </w:r>
      <w:r w:rsidRPr="00391FB8">
        <w:t xml:space="preserve">Utilizando la fuente </w:t>
      </w:r>
      <w:r w:rsidR="00800275" w:rsidRPr="00391FB8">
        <w:t>Arial Nova o Arial</w:t>
      </w:r>
      <w:r w:rsidR="00451E46" w:rsidRPr="00391FB8">
        <w:t xml:space="preserve"> en su defecto</w:t>
      </w:r>
      <w:r w:rsidRPr="00391FB8">
        <w:t>, con tamaño de letra 1</w:t>
      </w:r>
      <w:r w:rsidR="00800275" w:rsidRPr="00391FB8">
        <w:t>0</w:t>
      </w:r>
      <w:r w:rsidR="005E595C" w:rsidRPr="00391FB8">
        <w:t>, estilo «texto de sinopsis»</w:t>
      </w:r>
      <w:r w:rsidR="005E2598" w:rsidRPr="00391FB8">
        <w:t>. Puedes encontrar el estilo sinopsis en el panel de estilos (justo arriba)</w:t>
      </w:r>
      <w:r w:rsidRPr="00391FB8">
        <w:t xml:space="preserve">, sin activar el control de cambios y, con un </w:t>
      </w:r>
      <w:r w:rsidRPr="00391FB8">
        <w:rPr>
          <w:b/>
          <w:bCs/>
        </w:rPr>
        <w:t>texto máximo de 300 palabras</w:t>
      </w:r>
      <w:r w:rsidRPr="00391FB8">
        <w:t>, distribuido según esta estructura de tres párrafos. El primer párrafo es un párrafo introductorio, que indica el contexto en el que se realiza el trabajo objeto de la ponencia y posterior presentación, enfatizando la importancia del área en que se desarrolla la contribución (entre 4 y 6 líneas). La sinopsis puede realizarse en castellano o inglés.</w:t>
      </w:r>
    </w:p>
    <w:p w14:paraId="697A0D99" w14:textId="212441ED" w:rsidR="00E82532" w:rsidRPr="00391FB8" w:rsidRDefault="00E92B28" w:rsidP="00800275">
      <w:pPr>
        <w:pStyle w:val="Textodesinopsis"/>
      </w:pPr>
      <w:r w:rsidRPr="00391FB8">
        <w:t>El segundo párrafo indica el objetivo y el alcance del trabajo, el valor añadido</w:t>
      </w:r>
      <w:r w:rsidR="008F1D5B" w:rsidRPr="00391FB8">
        <w:t xml:space="preserve">, </w:t>
      </w:r>
      <w:r w:rsidRPr="00391FB8">
        <w:t>y la metodología y/o aproximación utilizada en su desarrollo (entre 4 y 6 líneas). Por último, el tercer párrafo contiene la síntesis de los resultados obtenidos y la conclusión global del trabajo</w:t>
      </w:r>
      <w:r w:rsidR="008F1D5B" w:rsidRPr="00391FB8">
        <w:t xml:space="preserve">, </w:t>
      </w:r>
      <w:r w:rsidRPr="00391FB8">
        <w:t xml:space="preserve">entre 8 y 12 líneas. </w:t>
      </w:r>
      <w:r w:rsidR="00BF5AAE" w:rsidRPr="00391FB8">
        <w:t xml:space="preserve">A continuación, se detallan las fechas límite para envío de sinopsis, ponencias y presentaciones establecidas por </w:t>
      </w:r>
      <w:r w:rsidR="00800275" w:rsidRPr="00391FB8">
        <w:t>el CTRA.</w:t>
      </w:r>
    </w:p>
    <w:p w14:paraId="483C7FB7" w14:textId="055925A3" w:rsidR="00E43A8F" w:rsidRPr="00391FB8" w:rsidRDefault="00144940" w:rsidP="00E43A8F">
      <w:pPr>
        <w:pStyle w:val="Textodesinopsis"/>
        <w:numPr>
          <w:ilvl w:val="0"/>
          <w:numId w:val="21"/>
        </w:numPr>
      </w:pPr>
      <w:r w:rsidRPr="00391FB8">
        <w:t>5</w:t>
      </w:r>
      <w:r w:rsidR="00E43A8F" w:rsidRPr="00391FB8">
        <w:t xml:space="preserve"> de marzo: se habilita la subida de sinopsis a la plataforma.</w:t>
      </w:r>
    </w:p>
    <w:p w14:paraId="0FE79E01" w14:textId="5EF20A5C" w:rsidR="00E43A8F" w:rsidRPr="00391FB8" w:rsidRDefault="00144940" w:rsidP="00E43A8F">
      <w:pPr>
        <w:pStyle w:val="Textodesinopsis"/>
        <w:numPr>
          <w:ilvl w:val="0"/>
          <w:numId w:val="21"/>
        </w:numPr>
      </w:pPr>
      <w:r w:rsidRPr="00391FB8">
        <w:t>8</w:t>
      </w:r>
      <w:r w:rsidR="00E43A8F" w:rsidRPr="00391FB8">
        <w:t xml:space="preserve"> de mayo: fecha límite para el envío de sinopsis a la plataforma.</w:t>
      </w:r>
    </w:p>
    <w:p w14:paraId="01260225" w14:textId="4B5D834E" w:rsidR="00E43A8F" w:rsidRPr="00391FB8" w:rsidRDefault="00E43A8F" w:rsidP="00E43A8F">
      <w:pPr>
        <w:pStyle w:val="Textodesinopsis"/>
        <w:numPr>
          <w:ilvl w:val="0"/>
          <w:numId w:val="21"/>
        </w:numPr>
      </w:pPr>
      <w:r w:rsidRPr="00391FB8">
        <w:t xml:space="preserve">Las ponencias finales recibidas antes del </w:t>
      </w:r>
      <w:r w:rsidR="00144940" w:rsidRPr="00391FB8">
        <w:t>18</w:t>
      </w:r>
      <w:r w:rsidRPr="00391FB8">
        <w:t xml:space="preserve"> de septiembre optarán a premio.</w:t>
      </w:r>
    </w:p>
    <w:p w14:paraId="2DB74FC0" w14:textId="16E5888F" w:rsidR="00E43A8F" w:rsidRPr="00391FB8" w:rsidRDefault="00074017" w:rsidP="00E43A8F">
      <w:pPr>
        <w:pStyle w:val="Textodesinopsis"/>
        <w:numPr>
          <w:ilvl w:val="0"/>
          <w:numId w:val="21"/>
        </w:numPr>
      </w:pPr>
      <w:r w:rsidRPr="00391FB8">
        <w:t>2</w:t>
      </w:r>
      <w:r w:rsidR="00E43A8F" w:rsidRPr="00391FB8">
        <w:t xml:space="preserve"> de </w:t>
      </w:r>
      <w:r w:rsidRPr="00391FB8">
        <w:t>octubre</w:t>
      </w:r>
      <w:r w:rsidR="00E43A8F" w:rsidRPr="00391FB8">
        <w:t>: fecha límite para cargar a la plataforma la presentación de la ponencia oral.</w:t>
      </w:r>
    </w:p>
    <w:p w14:paraId="722C6D10" w14:textId="52B15B52" w:rsidR="00800275" w:rsidRPr="00391FB8" w:rsidRDefault="009D3E62" w:rsidP="00800275">
      <w:pPr>
        <w:pStyle w:val="Textodesinopsis"/>
      </w:pPr>
      <w:bookmarkStart w:id="0" w:name="_Hlk188273191"/>
      <w:bookmarkStart w:id="1" w:name="_Hlk159336486"/>
      <w:r w:rsidRPr="00391FB8">
        <w:rPr>
          <w:u w:val="single"/>
        </w:rPr>
        <w:t>Se ruega a los autores que suban sus presentaciones a tiempo para evitar retrasar la sesión técnica y perjudicar a sus compañeros de sesión</w:t>
      </w:r>
      <w:r w:rsidR="00BF5AAE" w:rsidRPr="00391FB8">
        <w:rPr>
          <w:u w:val="single"/>
        </w:rPr>
        <w:t>, así como al programa técnico y social</w:t>
      </w:r>
      <w:r w:rsidRPr="00391FB8">
        <w:rPr>
          <w:u w:val="single"/>
        </w:rPr>
        <w:t>.</w:t>
      </w:r>
      <w:r w:rsidRPr="00391FB8">
        <w:t xml:space="preserve"> Todas las presentaciones serán descargadas </w:t>
      </w:r>
      <w:r w:rsidR="0084573E" w:rsidRPr="00391FB8">
        <w:t>en</w:t>
      </w:r>
      <w:r w:rsidRPr="00391FB8">
        <w:t xml:space="preserve"> las salas el lunes por la tarde.</w:t>
      </w:r>
    </w:p>
    <w:bookmarkEnd w:id="0"/>
    <w:bookmarkEnd w:id="1"/>
    <w:p w14:paraId="24AB0866" w14:textId="506DECC6" w:rsidR="00277AB5" w:rsidRPr="00391FB8" w:rsidRDefault="00277AB5" w:rsidP="00800275">
      <w:pPr>
        <w:pStyle w:val="Textodesinopsis"/>
        <w:rPr>
          <w:b/>
          <w:bCs/>
          <w:u w:val="single"/>
        </w:rPr>
      </w:pPr>
      <w:r w:rsidRPr="00391FB8">
        <mc:AlternateContent>
          <mc:Choice Requires="wps">
            <w:drawing>
              <wp:inline distT="0" distB="0" distL="0" distR="0" wp14:anchorId="242138DB" wp14:editId="298EE3A1">
                <wp:extent cx="5915660" cy="0"/>
                <wp:effectExtent l="0" t="0" r="0" b="0"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6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95C6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587944" id="Conector recto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" strokecolor="#195c6b" strokeweight="1.5pt">
                <v:stroke joinstyle="miter"/>
                <w10:anchorlock/>
              </v:line>
            </w:pict>
          </mc:Fallback>
        </mc:AlternateContent>
      </w:r>
    </w:p>
    <w:p w14:paraId="208DC0D8" w14:textId="2A949591" w:rsidR="00114EB9" w:rsidRPr="00391FB8" w:rsidRDefault="00833D7A" w:rsidP="0084573E">
      <w:pPr>
        <w:pStyle w:val="Ttulo1"/>
        <w:spacing w:after="60" w:line="276" w:lineRule="auto"/>
        <w:jc w:val="left"/>
        <w:rPr>
          <w:rFonts w:ascii="Arial Nova" w:hAnsi="Arial Nova" w:cs="Times New Roman"/>
          <w:b w:val="0"/>
          <w:bCs w:val="0"/>
          <w:sz w:val="16"/>
          <w:szCs w:val="16"/>
          <w:lang w:val="es-ES"/>
        </w:rPr>
      </w:pPr>
      <w:r w:rsidRPr="00391FB8">
        <w:rPr>
          <w:rStyle w:val="Ttulo4Car"/>
          <w:b/>
          <w:bCs/>
          <w:sz w:val="16"/>
          <w:szCs w:val="16"/>
        </w:rPr>
        <w:t>PALABRAS CLAV</w:t>
      </w:r>
      <w:r w:rsidR="005E2598" w:rsidRPr="00391FB8">
        <w:rPr>
          <w:rStyle w:val="Ttulo4Car"/>
          <w:b/>
          <w:bCs/>
          <w:sz w:val="16"/>
          <w:szCs w:val="16"/>
        </w:rPr>
        <w:t>E:</w:t>
      </w:r>
      <w:r w:rsidRPr="00391FB8">
        <w:rPr>
          <w:rFonts w:ascii="Arial Nova" w:hAnsi="Arial Nova" w:cs="Times New Roman"/>
          <w:b w:val="0"/>
          <w:bCs w:val="0"/>
          <w:sz w:val="16"/>
          <w:szCs w:val="16"/>
          <w:lang w:val="es-ES"/>
        </w:rPr>
        <w:t xml:space="preserve"> REUNIÓN, ANUAL, SOCIEDAD, NUCLEAR, ESPAÑOL</w:t>
      </w:r>
      <w:r w:rsidR="00BB4179" w:rsidRPr="00391FB8">
        <w:rPr>
          <w:rFonts w:ascii="Arial Nova" w:hAnsi="Arial Nova" w:cs="Times New Roman"/>
          <w:b w:val="0"/>
          <w:bCs w:val="0"/>
          <w:sz w:val="16"/>
          <w:szCs w:val="16"/>
          <w:lang w:val="es-ES"/>
        </w:rPr>
        <w:t>A</w:t>
      </w:r>
      <w:r w:rsidR="00333FA1" w:rsidRPr="00391FB8">
        <w:rPr>
          <w:rFonts w:ascii="Arial Nova" w:hAnsi="Arial Nova" w:cs="Times New Roman"/>
          <w:b w:val="0"/>
          <w:bCs w:val="0"/>
          <w:sz w:val="16"/>
          <w:szCs w:val="16"/>
          <w:lang w:val="es-ES"/>
        </w:rPr>
        <w:t>.</w:t>
      </w:r>
    </w:p>
    <w:p w14:paraId="4C6C7275" w14:textId="1A8ADA21" w:rsidR="0084573E" w:rsidRPr="00391FB8" w:rsidRDefault="0084573E">
      <w:pPr>
        <w:overflowPunct/>
        <w:autoSpaceDE/>
        <w:autoSpaceDN/>
        <w:adjustRightInd/>
        <w:jc w:val="left"/>
        <w:textAlignment w:val="auto"/>
        <w:rPr>
          <w:lang w:val="es-ES"/>
        </w:rPr>
      </w:pPr>
      <w:r w:rsidRPr="00391FB8">
        <w:rPr>
          <w:lang w:val="es-ES"/>
        </w:rPr>
        <w:br w:type="page"/>
      </w:r>
    </w:p>
    <w:p w14:paraId="5BDEECF8" w14:textId="3A1619A4" w:rsidR="0084573E" w:rsidRPr="00391FB8" w:rsidRDefault="009034F2" w:rsidP="00C25884">
      <w:pPr>
        <w:pStyle w:val="Ttulo4"/>
        <w:spacing w:after="240"/>
      </w:pPr>
      <w:r w:rsidRPr="00391FB8">
        <w:lastRenderedPageBreak/>
        <w:t xml:space="preserve">ORIENTACIÓN DE CONTENIDO </w:t>
      </w:r>
      <w:r w:rsidR="00D82830" w:rsidRPr="00391FB8">
        <w:t>PARA CADA ÁREA TÉCNICA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4110"/>
      </w:tblGrid>
      <w:tr w:rsidR="00DE46B5" w:rsidRPr="00391FB8" w14:paraId="7E62173F" w14:textId="77777777" w:rsidTr="004A39CB">
        <w:tc>
          <w:tcPr>
            <w:tcW w:w="2547" w:type="dxa"/>
            <w:shd w:val="clear" w:color="auto" w:fill="BFBFBF" w:themeFill="background1" w:themeFillShade="BF"/>
          </w:tcPr>
          <w:p w14:paraId="15931CD1" w14:textId="6EA5DE87" w:rsidR="00DE46B5" w:rsidRPr="00391FB8" w:rsidRDefault="00DE46B5" w:rsidP="00F47701">
            <w:pPr>
              <w:pStyle w:val="Textodesinopsis"/>
              <w:rPr>
                <w:b/>
                <w:bCs/>
              </w:rPr>
            </w:pPr>
            <w:r w:rsidRPr="00391FB8">
              <w:rPr>
                <w:b/>
                <w:bCs/>
              </w:rPr>
              <w:t>ÁREA TÉCNICA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7C53898" w14:textId="69D86F0A" w:rsidR="00DE46B5" w:rsidRPr="00391FB8" w:rsidRDefault="00DE46B5" w:rsidP="00F47701">
            <w:pPr>
              <w:pStyle w:val="Textodesinopsis"/>
              <w:rPr>
                <w:b/>
                <w:bCs/>
              </w:rPr>
            </w:pPr>
            <w:r w:rsidRPr="00391FB8">
              <w:rPr>
                <w:b/>
                <w:bCs/>
              </w:rPr>
              <w:t>DEFINICIÓN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741901AC" w14:textId="2A47EA51" w:rsidR="00DE46B5" w:rsidRPr="00391FB8" w:rsidRDefault="00DE46B5" w:rsidP="00F47701">
            <w:pPr>
              <w:pStyle w:val="Textodesinopsis"/>
              <w:rPr>
                <w:b/>
                <w:bCs/>
              </w:rPr>
            </w:pPr>
            <w:r w:rsidRPr="00391FB8">
              <w:rPr>
                <w:b/>
                <w:bCs/>
              </w:rPr>
              <w:t>CONTENIDO ORIENTATIVO</w:t>
            </w:r>
          </w:p>
        </w:tc>
      </w:tr>
      <w:tr w:rsidR="00DE46B5" w:rsidRPr="00391FB8" w14:paraId="3E16543A" w14:textId="77777777" w:rsidTr="00C25884">
        <w:tc>
          <w:tcPr>
            <w:tcW w:w="2547" w:type="dxa"/>
          </w:tcPr>
          <w:p w14:paraId="1422BE28" w14:textId="070D0638" w:rsidR="00DE46B5" w:rsidRPr="00391FB8" w:rsidRDefault="00CD2AD2" w:rsidP="00277BB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REGULACIÓN NUCLEAR, CALIDAD Y MARCO JURÍDICO</w:t>
            </w:r>
          </w:p>
        </w:tc>
        <w:tc>
          <w:tcPr>
            <w:tcW w:w="2693" w:type="dxa"/>
          </w:tcPr>
          <w:p w14:paraId="13E5B829" w14:textId="53A0E263" w:rsidR="00DE46B5" w:rsidRPr="00391FB8" w:rsidRDefault="00CD2AD2" w:rsidP="005F5B36">
            <w:pPr>
              <w:pStyle w:val="Textodesinopsis"/>
              <w:spacing w:after="0" w:line="240" w:lineRule="auto"/>
              <w:jc w:val="left"/>
            </w:pPr>
            <w:r w:rsidRPr="00391FB8">
              <w:t>Área dedicada a los marcos regulatorios, normativos y jurídicos de la energía nuclear, así como a los sistemas de gestión que soportan la seguridad y la calidad en las actividades nucleares.</w:t>
            </w:r>
          </w:p>
        </w:tc>
        <w:tc>
          <w:tcPr>
            <w:tcW w:w="4110" w:type="dxa"/>
          </w:tcPr>
          <w:p w14:paraId="631A5269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391FB8">
              <w:t>Marco regulatorio nacional e internacional</w:t>
            </w:r>
          </w:p>
          <w:p w14:paraId="03D87EEF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391FB8">
              <w:t>Regulación nuclear (CSN, UE, IAEA)</w:t>
            </w:r>
          </w:p>
          <w:p w14:paraId="238A42CF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391FB8">
              <w:t>Responsabilidad civil y seguros nucleares</w:t>
            </w:r>
          </w:p>
          <w:p w14:paraId="0A31CA95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391FB8">
              <w:t>Sistemas de gestión de calidad</w:t>
            </w:r>
          </w:p>
          <w:p w14:paraId="33355F44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391FB8">
              <w:t>Enfoque graduado</w:t>
            </w:r>
          </w:p>
          <w:p w14:paraId="219482D4" w14:textId="77777777" w:rsidR="00CD2AD2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391FB8">
              <w:t>Interfaces regulatorias no técnicas</w:t>
            </w:r>
          </w:p>
          <w:p w14:paraId="6ED6B623" w14:textId="596BD1A9" w:rsidR="00DE46B5" w:rsidRPr="00391FB8" w:rsidRDefault="00CD2AD2" w:rsidP="00391FB8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t>Cumplimiento normativo y auditorías</w:t>
            </w:r>
          </w:p>
        </w:tc>
      </w:tr>
      <w:tr w:rsidR="009A7024" w:rsidRPr="00391FB8" w14:paraId="6D4930B1" w14:textId="77777777" w:rsidTr="005F5B36">
        <w:tc>
          <w:tcPr>
            <w:tcW w:w="2547" w:type="dxa"/>
            <w:shd w:val="clear" w:color="auto" w:fill="F2F2F2" w:themeFill="background1" w:themeFillShade="F2"/>
          </w:tcPr>
          <w:p w14:paraId="79AA041E" w14:textId="3DB2B6CC" w:rsidR="009A7024" w:rsidRPr="00391FB8" w:rsidRDefault="009A7024" w:rsidP="00277BB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COMUNICACIÓN, FORMACIÓN Y SOSTENIBILIDAD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A6CE4F1" w14:textId="4AC70A6E" w:rsidR="009A7024" w:rsidRPr="00391FB8" w:rsidRDefault="006311DB" w:rsidP="005F5B36">
            <w:pPr>
              <w:pStyle w:val="Textodesinopsis"/>
              <w:spacing w:after="0" w:line="240" w:lineRule="auto"/>
              <w:jc w:val="left"/>
            </w:pPr>
            <w:r w:rsidRPr="00391FB8">
              <w:t>Esta área aborda los aspectos humanos, organizativos y sociales de la actividad nuclear, incluyendo la formación, la responsabilidad social y corporativa, con énfasis en la sostenibilidad y la comunicación con los distintos grupos de interés.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4BD6FDDC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6311DB">
              <w:t>Formación técnica y no técnica</w:t>
            </w:r>
          </w:p>
          <w:p w14:paraId="11D5C51B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Transferencia y gestión del conocimiento</w:t>
            </w:r>
          </w:p>
          <w:p w14:paraId="50F74AAA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Simuladores y herramientas de entrenamiento</w:t>
            </w:r>
          </w:p>
          <w:p w14:paraId="39F83BE4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Responsabilidad social y corporativa</w:t>
            </w:r>
          </w:p>
          <w:p w14:paraId="031E7565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Sostenibilidad</w:t>
            </w:r>
          </w:p>
          <w:p w14:paraId="428A55D2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Factores humanos organizativos</w:t>
            </w:r>
          </w:p>
          <w:p w14:paraId="500B209F" w14:textId="77777777" w:rsidR="006311DB" w:rsidRPr="006311DB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6311DB">
              <w:t>Comunicación y divulgación científica</w:t>
            </w:r>
          </w:p>
          <w:p w14:paraId="0E97B6B7" w14:textId="55EF619B" w:rsidR="009A7024" w:rsidRPr="00391FB8" w:rsidRDefault="006311DB" w:rsidP="00391FB8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Percepción social de la energía nuclear</w:t>
            </w:r>
          </w:p>
        </w:tc>
      </w:tr>
      <w:tr w:rsidR="00DE46B5" w:rsidRPr="00391FB8" w14:paraId="5B3EF84B" w14:textId="77777777" w:rsidTr="00C25884">
        <w:tc>
          <w:tcPr>
            <w:tcW w:w="2547" w:type="dxa"/>
          </w:tcPr>
          <w:p w14:paraId="2BDDE891" w14:textId="12B24283" w:rsidR="00DE46B5" w:rsidRPr="00391FB8" w:rsidRDefault="006311DB" w:rsidP="00277BB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INGENIERÍA DE INSTALACIONES NUCLEARES</w:t>
            </w:r>
          </w:p>
        </w:tc>
        <w:tc>
          <w:tcPr>
            <w:tcW w:w="2693" w:type="dxa"/>
          </w:tcPr>
          <w:p w14:paraId="7B2FDCA9" w14:textId="7EB66996" w:rsidR="00DE46B5" w:rsidRPr="00391FB8" w:rsidRDefault="006311DB" w:rsidP="005F5B36">
            <w:pPr>
              <w:pStyle w:val="Textodesinopsis"/>
              <w:spacing w:after="0" w:line="240" w:lineRule="auto"/>
              <w:jc w:val="left"/>
            </w:pPr>
            <w:r w:rsidRPr="00391FB8">
              <w:t>Esta área cubre el diseño, la ingeniería y la arquitectura de instalaciones nucleares a lo largo de su ciclo de vida, desde la concepción y el diseño detallado hasta la modernización y adaptación de sistemas, estructuras y componentes.</w:t>
            </w:r>
          </w:p>
        </w:tc>
        <w:tc>
          <w:tcPr>
            <w:tcW w:w="4110" w:type="dxa"/>
          </w:tcPr>
          <w:p w14:paraId="07E97254" w14:textId="77777777" w:rsidR="00825F34" w:rsidRPr="00825F34" w:rsidRDefault="00825F34" w:rsidP="00391FB8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825F34">
              <w:t xml:space="preserve">Diseño de sistemas, </w:t>
            </w:r>
            <w:proofErr w:type="spellStart"/>
            <w:r w:rsidRPr="00825F34">
              <w:t>SSCs</w:t>
            </w:r>
            <w:proofErr w:type="spellEnd"/>
            <w:r w:rsidRPr="00825F34">
              <w:t xml:space="preserve"> y </w:t>
            </w:r>
            <w:proofErr w:type="spellStart"/>
            <w:r w:rsidRPr="00825F34">
              <w:t>layout</w:t>
            </w:r>
            <w:proofErr w:type="spellEnd"/>
            <w:r w:rsidRPr="00825F34">
              <w:t xml:space="preserve"> de planta</w:t>
            </w:r>
          </w:p>
          <w:p w14:paraId="21D3BEEF" w14:textId="77777777" w:rsidR="00825F34" w:rsidRPr="00825F34" w:rsidRDefault="00825F34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825F34">
              <w:t>Ingeniería mecánica, eléctrica, civil y estructural</w:t>
            </w:r>
          </w:p>
          <w:p w14:paraId="53509610" w14:textId="77777777" w:rsidR="00825F34" w:rsidRPr="00825F34" w:rsidRDefault="00825F34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825F34">
              <w:t>Calificación sísmica y ambiental</w:t>
            </w:r>
          </w:p>
          <w:p w14:paraId="5599C957" w14:textId="77777777" w:rsidR="00825F34" w:rsidRPr="00825F34" w:rsidRDefault="00825F34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825F34">
              <w:t>Modernización de instalaciones</w:t>
            </w:r>
          </w:p>
          <w:p w14:paraId="07CDED2B" w14:textId="77777777" w:rsidR="00825F34" w:rsidRPr="00825F34" w:rsidRDefault="00825F34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825F34">
              <w:t>BIM, gemelos digitales aplicados al diseño</w:t>
            </w:r>
          </w:p>
          <w:p w14:paraId="7631455D" w14:textId="021046F1" w:rsidR="00DE46B5" w:rsidRPr="00391FB8" w:rsidRDefault="00825F34" w:rsidP="00391FB8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Fabricación y cadena de suministro nuclear</w:t>
            </w:r>
          </w:p>
        </w:tc>
      </w:tr>
      <w:tr w:rsidR="00DE46B5" w:rsidRPr="00391FB8" w14:paraId="50B4A1A6" w14:textId="77777777" w:rsidTr="005F5B36">
        <w:tc>
          <w:tcPr>
            <w:tcW w:w="2547" w:type="dxa"/>
            <w:shd w:val="clear" w:color="auto" w:fill="F2F2F2" w:themeFill="background1" w:themeFillShade="F2"/>
          </w:tcPr>
          <w:p w14:paraId="19C84AA9" w14:textId="47A76778" w:rsidR="00DE46B5" w:rsidRPr="00391FB8" w:rsidRDefault="00825F34" w:rsidP="00277BB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REACTORES AVANZADOS, FUSIÓN Y NUEVAS APLICACIONES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3E50113" w14:textId="39BE939E" w:rsidR="00DE46B5" w:rsidRPr="00391FB8" w:rsidRDefault="00825F34" w:rsidP="005F5B36">
            <w:pPr>
              <w:pStyle w:val="Textodesinopsis"/>
              <w:spacing w:after="0" w:line="240" w:lineRule="auto"/>
              <w:jc w:val="left"/>
            </w:pPr>
            <w:r w:rsidRPr="00391FB8">
              <w:t>Área orientada a las tecnologías emergentes en energía nuclear, incluyendo reactores avanzados de fisión, pequeños reactores modulares (SMR) y sistemas de fusión nuclear, así como a las aplicaciones innovadoras de la energía nuclear</w:t>
            </w:r>
            <w:r w:rsidRPr="00391FB8">
              <w:t>.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6288145E" w14:textId="77777777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5B16E3">
              <w:t>Reactores avanzados de fisión</w:t>
            </w:r>
          </w:p>
          <w:p w14:paraId="198236FD" w14:textId="7785CD5C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 xml:space="preserve">SMR y </w:t>
            </w:r>
            <w:proofErr w:type="spellStart"/>
            <w:r w:rsidRPr="005B16E3">
              <w:t>microreactores</w:t>
            </w:r>
            <w:proofErr w:type="spellEnd"/>
            <w:r w:rsidRPr="005B16E3">
              <w:t xml:space="preserve"> (PWR y no-PWR)</w:t>
            </w:r>
          </w:p>
          <w:p w14:paraId="33843D69" w14:textId="77777777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Sistemas pasivos innovadores</w:t>
            </w:r>
          </w:p>
          <w:p w14:paraId="7334B324" w14:textId="77777777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Análisis de seguridad específicos de nuevas tecnologías</w:t>
            </w:r>
          </w:p>
          <w:p w14:paraId="47C96FA7" w14:textId="77777777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Fusión nuclear (ITER, DEMO, IFMIF-DONES)</w:t>
            </w:r>
          </w:p>
          <w:p w14:paraId="15CD3203" w14:textId="77777777" w:rsidR="005B16E3" w:rsidRPr="005B16E3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Materiales y sistemas específicos de fusión</w:t>
            </w:r>
          </w:p>
          <w:p w14:paraId="7366FAE9" w14:textId="7C04567B" w:rsidR="00DE46B5" w:rsidRPr="00391FB8" w:rsidRDefault="005B16E3" w:rsidP="00391FB8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Nuevos modelos de despliegue y aplicaciones</w:t>
            </w:r>
          </w:p>
        </w:tc>
      </w:tr>
    </w:tbl>
    <w:p w14:paraId="006CB442" w14:textId="77777777" w:rsidR="005F5B36" w:rsidRDefault="005F5B36" w:rsidP="00F47701">
      <w:pPr>
        <w:pStyle w:val="Textodesinopsis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4110"/>
      </w:tblGrid>
      <w:tr w:rsidR="005F5B36" w:rsidRPr="00391FB8" w14:paraId="3EED165B" w14:textId="77777777" w:rsidTr="00BA689E">
        <w:tc>
          <w:tcPr>
            <w:tcW w:w="2547" w:type="dxa"/>
          </w:tcPr>
          <w:p w14:paraId="6CB17D14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OPERACIÓN, MANTENIMIENTO Y GESTIÓN DE VIDA</w:t>
            </w:r>
          </w:p>
        </w:tc>
        <w:tc>
          <w:tcPr>
            <w:tcW w:w="2693" w:type="dxa"/>
          </w:tcPr>
          <w:p w14:paraId="70185AC1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Área dedicada a la operación segura y eficiente de las instalaciones nucleares, así como a las estrategias de mantenimiento y gestión de activos que garantizan su fiabilidad, disponibilidad y rendimiento a largo plazo.</w:t>
            </w:r>
          </w:p>
        </w:tc>
        <w:tc>
          <w:tcPr>
            <w:tcW w:w="4110" w:type="dxa"/>
          </w:tcPr>
          <w:p w14:paraId="715E8CEE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5B16E3">
              <w:t>Operación normal y transitorios operativos</w:t>
            </w:r>
          </w:p>
          <w:p w14:paraId="5351792D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Mantenimiento correctivo, preventivo y predictivo</w:t>
            </w:r>
          </w:p>
          <w:p w14:paraId="77A290C8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Monitorización online y diagnóstico de equipos</w:t>
            </w:r>
          </w:p>
          <w:p w14:paraId="329935E7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Gestión de vida útil y operación a largo plazo</w:t>
            </w:r>
          </w:p>
          <w:p w14:paraId="3AB5B277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Experiencia operativa</w:t>
            </w:r>
          </w:p>
          <w:p w14:paraId="678C4702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Digitalización aplicada a O&amp;M</w:t>
            </w:r>
          </w:p>
          <w:p w14:paraId="0B8D1862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Factores humanos en operación</w:t>
            </w:r>
          </w:p>
        </w:tc>
      </w:tr>
      <w:tr w:rsidR="005F5B36" w:rsidRPr="00391FB8" w14:paraId="76D47AA6" w14:textId="77777777" w:rsidTr="005F5B36">
        <w:tc>
          <w:tcPr>
            <w:tcW w:w="2547" w:type="dxa"/>
            <w:shd w:val="clear" w:color="auto" w:fill="F2F2F2" w:themeFill="background1" w:themeFillShade="F2"/>
          </w:tcPr>
          <w:p w14:paraId="287F8816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COMBUSTIBLE NUCLEAR Y TECNOLOGÍAS DEL CICLO COMBUSTIBLE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F948477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Esta área cubre el diseño, fabricación, comportamiento y gestión del combustible nuclear, así como los aspectos técnicos asociados al ciclo del combustible a lo largo de su vida útil.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3FAAA638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5B16E3">
              <w:t>Diseño y fabricación de combustible</w:t>
            </w:r>
          </w:p>
          <w:p w14:paraId="10B775C8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Combustibles avanzados y ATF</w:t>
            </w:r>
          </w:p>
          <w:p w14:paraId="692E3F6A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Comportamiento bajo irradiación</w:t>
            </w:r>
          </w:p>
          <w:p w14:paraId="2E43A378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Gestión de combustible fallado</w:t>
            </w:r>
          </w:p>
          <w:p w14:paraId="73E303E3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5B16E3">
              <w:t>Almacenamiento en piscina y en seco</w:t>
            </w:r>
          </w:p>
          <w:p w14:paraId="67191EBD" w14:textId="77777777" w:rsidR="005F5B36" w:rsidRPr="005B16E3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proofErr w:type="spellStart"/>
            <w:r w:rsidRPr="005B16E3">
              <w:t>Críticidad</w:t>
            </w:r>
            <w:proofErr w:type="spellEnd"/>
            <w:r w:rsidRPr="005B16E3">
              <w:t xml:space="preserve"> asociada al combustible</w:t>
            </w:r>
          </w:p>
          <w:p w14:paraId="49BD1B7E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 xml:space="preserve">Aspectos técnicos del ciclo del </w:t>
            </w:r>
            <w:proofErr w:type="spellStart"/>
            <w:r w:rsidRPr="00391FB8">
              <w:rPr>
                <w:rFonts w:eastAsia="SimSun"/>
                <w:kern w:val="0"/>
                <w:lang w:eastAsia="en-US"/>
              </w:rPr>
              <w:t>com</w:t>
            </w:r>
            <w:proofErr w:type="spellEnd"/>
            <w:r>
              <w:rPr>
                <w:rFonts w:eastAsia="SimSun"/>
                <w:kern w:val="0"/>
                <w:lang w:eastAsia="en-US"/>
              </w:rPr>
              <w:t>-</w:t>
            </w:r>
            <w:r>
              <w:rPr>
                <w:rFonts w:eastAsia="SimSun"/>
                <w:kern w:val="0"/>
                <w:lang w:eastAsia="en-US"/>
              </w:rPr>
              <w:br/>
            </w:r>
            <w:proofErr w:type="spellStart"/>
            <w:r>
              <w:rPr>
                <w:rFonts w:eastAsia="SimSun"/>
                <w:kern w:val="0"/>
                <w:lang w:eastAsia="en-US"/>
              </w:rPr>
              <w:t>bustible</w:t>
            </w:r>
            <w:proofErr w:type="spellEnd"/>
          </w:p>
        </w:tc>
      </w:tr>
      <w:tr w:rsidR="005F5B36" w:rsidRPr="00391FB8" w14:paraId="69839254" w14:textId="77777777" w:rsidTr="00BA689E">
        <w:tc>
          <w:tcPr>
            <w:tcW w:w="2547" w:type="dxa"/>
          </w:tcPr>
          <w:p w14:paraId="50723641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SEGURIDAD NUCLEAR, ANÁLISIS Y LICENCIAMIENTO</w:t>
            </w:r>
          </w:p>
        </w:tc>
        <w:tc>
          <w:tcPr>
            <w:tcW w:w="2693" w:type="dxa"/>
          </w:tcPr>
          <w:p w14:paraId="48983082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Esta área aborda los análisis y metodologías que sustentan la demostración de la seguridad nuclear, así como su aplicación en los procesos técnicos de licenciamiento y toma de decisiones.</w:t>
            </w:r>
          </w:p>
        </w:tc>
        <w:tc>
          <w:tcPr>
            <w:tcW w:w="4110" w:type="dxa"/>
          </w:tcPr>
          <w:p w14:paraId="1189BD5A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D11CFC">
              <w:t>Análisis Probabilista de Seguridad</w:t>
            </w:r>
          </w:p>
          <w:p w14:paraId="6C31DC2A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Análisis determinista y BEPU</w:t>
            </w:r>
          </w:p>
          <w:p w14:paraId="4FD8397C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Accidentes severos y gestión de emergencias</w:t>
            </w:r>
          </w:p>
          <w:p w14:paraId="35221833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Revisiones periódicas de seguridad</w:t>
            </w:r>
          </w:p>
          <w:p w14:paraId="7807214F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proofErr w:type="spellStart"/>
            <w:r w:rsidRPr="00D11CFC">
              <w:t>Benchmarks</w:t>
            </w:r>
            <w:proofErr w:type="spellEnd"/>
            <w:r w:rsidRPr="00D11CFC">
              <w:t xml:space="preserve"> y validación de códigos</w:t>
            </w:r>
          </w:p>
          <w:p w14:paraId="4495CA29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Interfaces técnicas con licenciamiento</w:t>
            </w:r>
          </w:p>
          <w:p w14:paraId="4179677A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Aplicación de guías y estándares de seguridad</w:t>
            </w:r>
          </w:p>
        </w:tc>
      </w:tr>
      <w:tr w:rsidR="005F5B36" w:rsidRPr="00391FB8" w14:paraId="48E472FF" w14:textId="77777777" w:rsidTr="005F5B36">
        <w:tc>
          <w:tcPr>
            <w:tcW w:w="2547" w:type="dxa"/>
            <w:shd w:val="clear" w:color="auto" w:fill="F2F2F2" w:themeFill="background1" w:themeFillShade="F2"/>
          </w:tcPr>
          <w:p w14:paraId="779186A4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FÍSICA DE REACTORES Y SIMULACIÓN MULTIFÍSICA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24E73186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Área centrada en el estudio y modelización de los fenómenos físicos que gobiernan el comportamiento de los reactores nucleares, mediante métodos analíticos, numéricos y experimentales.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5463A38A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D11CFC">
              <w:t>Neutrónica y física del reactor</w:t>
            </w:r>
          </w:p>
          <w:p w14:paraId="0D85D860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proofErr w:type="spellStart"/>
            <w:r w:rsidRPr="00D11CFC">
              <w:t>Termohidráulica</w:t>
            </w:r>
            <w:proofErr w:type="spellEnd"/>
          </w:p>
          <w:p w14:paraId="62CA9C49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CFD y métodos Monte Carlo</w:t>
            </w:r>
          </w:p>
          <w:p w14:paraId="11DA8C51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 xml:space="preserve">Acoplamientos </w:t>
            </w:r>
            <w:proofErr w:type="spellStart"/>
            <w:r>
              <w:t>multifísica</w:t>
            </w:r>
            <w:proofErr w:type="spellEnd"/>
          </w:p>
          <w:p w14:paraId="0845B334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Métodos numéricos avanzados</w:t>
            </w:r>
          </w:p>
          <w:p w14:paraId="74F89912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Validación experimental</w:t>
            </w:r>
          </w:p>
          <w:p w14:paraId="001536D0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Análisis de sensibilidad e incertidumbre</w:t>
            </w:r>
          </w:p>
        </w:tc>
      </w:tr>
      <w:tr w:rsidR="005F5B36" w:rsidRPr="00391FB8" w14:paraId="2135873F" w14:textId="77777777" w:rsidTr="00BA689E">
        <w:tc>
          <w:tcPr>
            <w:tcW w:w="2547" w:type="dxa"/>
          </w:tcPr>
          <w:p w14:paraId="7F1C8BA2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DESMANTELAMIENTO Y CLAUSURA DE INSTALACIONES</w:t>
            </w:r>
          </w:p>
        </w:tc>
        <w:tc>
          <w:tcPr>
            <w:tcW w:w="2693" w:type="dxa"/>
          </w:tcPr>
          <w:p w14:paraId="0525BC04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Área dedicada a la planificación, ejecución y gestión del desmantelamiento y clausura de instalaciones nucleares, incluyendo aspectos técnicos, organizativos y de seguridad.</w:t>
            </w:r>
          </w:p>
        </w:tc>
        <w:tc>
          <w:tcPr>
            <w:tcW w:w="4110" w:type="dxa"/>
          </w:tcPr>
          <w:p w14:paraId="13AAAA2A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D11CFC">
              <w:t>Estrategias y planificación de desmantelamiento</w:t>
            </w:r>
          </w:p>
          <w:p w14:paraId="154ED664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Técnicas de corte y descontaminación</w:t>
            </w:r>
          </w:p>
          <w:p w14:paraId="0C837899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Caracterización radiológica para D&amp;D</w:t>
            </w:r>
          </w:p>
          <w:p w14:paraId="2AB636E3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Gestión de proyectos de clausura</w:t>
            </w:r>
          </w:p>
          <w:p w14:paraId="2B6469E0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Factores humanos y organizativos</w:t>
            </w:r>
          </w:p>
          <w:p w14:paraId="463E6DD2" w14:textId="77777777" w:rsidR="005F5B36" w:rsidRPr="00D11CFC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D11CFC">
              <w:t>Casos prácticos y experiencias reales</w:t>
            </w:r>
          </w:p>
          <w:p w14:paraId="6407FB03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Innovación tecnológica aplicada al desmantelamiento</w:t>
            </w:r>
          </w:p>
        </w:tc>
      </w:tr>
    </w:tbl>
    <w:p w14:paraId="2CDB1B42" w14:textId="77777777" w:rsidR="005F5B36" w:rsidRDefault="005F5B36" w:rsidP="00F47701">
      <w:pPr>
        <w:pStyle w:val="Textodesinopsis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4110"/>
      </w:tblGrid>
      <w:tr w:rsidR="005F5B36" w:rsidRPr="00391FB8" w14:paraId="30EEA74E" w14:textId="77777777" w:rsidTr="005F5B36">
        <w:tc>
          <w:tcPr>
            <w:tcW w:w="2547" w:type="dxa"/>
            <w:shd w:val="clear" w:color="auto" w:fill="F2F2F2" w:themeFill="background1" w:themeFillShade="F2"/>
          </w:tcPr>
          <w:p w14:paraId="5D5C70F9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GESTIÓN DE RESIDUOS Y SOLUCIONES DE ALMACENAMIENTO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E66DE58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Esta área aborda la gestión integral de los residuos radiactivos, desde su generación hasta su acondicionamiento, almacenamiento y disposición final.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0B6CA04D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025CCA">
              <w:t>Residuos operacionales y de desmantelamiento</w:t>
            </w:r>
          </w:p>
          <w:p w14:paraId="614E64A4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Clasificación, caracterización y acondicionamiento</w:t>
            </w:r>
          </w:p>
          <w:p w14:paraId="1777CA09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Contenedores, embalajes y transporte</w:t>
            </w:r>
          </w:p>
          <w:p w14:paraId="698E88AB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Almacenamiento temporal y definitivo</w:t>
            </w:r>
          </w:p>
          <w:p w14:paraId="1C1DFA50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Almacenes geológicos profundos y barreras</w:t>
            </w:r>
          </w:p>
          <w:p w14:paraId="4518A202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Modelización ambiental y transporte de radionucleidos</w:t>
            </w:r>
          </w:p>
          <w:p w14:paraId="5D0C037D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Soluciones innovadoras de gestión</w:t>
            </w:r>
          </w:p>
        </w:tc>
      </w:tr>
      <w:tr w:rsidR="005F5B36" w:rsidRPr="00391FB8" w14:paraId="66CBBEAE" w14:textId="77777777" w:rsidTr="00BA689E">
        <w:tc>
          <w:tcPr>
            <w:tcW w:w="2547" w:type="dxa"/>
          </w:tcPr>
          <w:p w14:paraId="4E952D75" w14:textId="77777777" w:rsidR="005F5B36" w:rsidRPr="00391FB8" w:rsidRDefault="005F5B36" w:rsidP="00BA689E">
            <w:pPr>
              <w:pStyle w:val="Textodesinopsis"/>
              <w:numPr>
                <w:ilvl w:val="0"/>
                <w:numId w:val="25"/>
              </w:num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391FB8">
              <w:rPr>
                <w:b/>
                <w:bCs/>
                <w:sz w:val="18"/>
                <w:szCs w:val="18"/>
              </w:rPr>
              <w:t>MEDICINA NUCLEAR Y PROTECCIÓN RADIOLÓGICA</w:t>
            </w:r>
          </w:p>
        </w:tc>
        <w:tc>
          <w:tcPr>
            <w:tcW w:w="2693" w:type="dxa"/>
          </w:tcPr>
          <w:p w14:paraId="4BFDBE57" w14:textId="77777777" w:rsidR="005F5B36" w:rsidRPr="00391FB8" w:rsidRDefault="005F5B36" w:rsidP="00BA689E">
            <w:pPr>
              <w:pStyle w:val="Textodesinopsis"/>
              <w:spacing w:after="0" w:line="240" w:lineRule="auto"/>
              <w:jc w:val="left"/>
            </w:pPr>
            <w:r w:rsidRPr="00391FB8">
              <w:t>Esta área cubre las aplicaciones médicas de las radiaciones ionizantes y los principios, métodos y herramientas de la protección radiológica en entornos médicos, industriales y nucleares.</w:t>
            </w:r>
          </w:p>
        </w:tc>
        <w:tc>
          <w:tcPr>
            <w:tcW w:w="4110" w:type="dxa"/>
          </w:tcPr>
          <w:p w14:paraId="607BEB77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after="0" w:line="240" w:lineRule="auto"/>
              <w:jc w:val="left"/>
            </w:pPr>
            <w:r w:rsidRPr="00025CCA">
              <w:t>Medicina nuclear diagnóstica y terapéutica</w:t>
            </w:r>
          </w:p>
          <w:p w14:paraId="0D052899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proofErr w:type="spellStart"/>
            <w:r w:rsidRPr="00025CCA">
              <w:t>Protonterapia</w:t>
            </w:r>
            <w:proofErr w:type="spellEnd"/>
          </w:p>
          <w:p w14:paraId="19F32C6F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Radiofármacos</w:t>
            </w:r>
          </w:p>
          <w:p w14:paraId="20FC504E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Dosimetría médica y personal</w:t>
            </w:r>
          </w:p>
          <w:p w14:paraId="0AA179BC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Protección radiológica operacional y ambiental</w:t>
            </w:r>
          </w:p>
          <w:p w14:paraId="6FC7DA04" w14:textId="77777777" w:rsidR="005F5B36" w:rsidRPr="00025CCA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after="0" w:line="240" w:lineRule="auto"/>
              <w:jc w:val="left"/>
            </w:pPr>
            <w:r w:rsidRPr="00025CCA">
              <w:t>Instrumentación y técnicas de medida</w:t>
            </w:r>
          </w:p>
          <w:p w14:paraId="6103B88C" w14:textId="77777777" w:rsidR="005F5B36" w:rsidRPr="00391FB8" w:rsidRDefault="005F5B36" w:rsidP="00BA689E">
            <w:pPr>
              <w:pStyle w:val="Textodesinopsis"/>
              <w:numPr>
                <w:ilvl w:val="0"/>
                <w:numId w:val="27"/>
              </w:numPr>
              <w:spacing w:before="0" w:line="240" w:lineRule="auto"/>
              <w:jc w:val="left"/>
            </w:pPr>
            <w:r w:rsidRPr="00391FB8">
              <w:rPr>
                <w:rFonts w:eastAsia="SimSun"/>
                <w:kern w:val="0"/>
                <w:lang w:eastAsia="en-US"/>
              </w:rPr>
              <w:t>Radón y NORM</w:t>
            </w:r>
          </w:p>
        </w:tc>
      </w:tr>
    </w:tbl>
    <w:p w14:paraId="6A3A65B3" w14:textId="77777777" w:rsidR="005F5B36" w:rsidRPr="00391FB8" w:rsidRDefault="005F5B36" w:rsidP="00F47701">
      <w:pPr>
        <w:pStyle w:val="Textodesinopsis"/>
      </w:pPr>
    </w:p>
    <w:sectPr w:rsidR="005F5B36" w:rsidRPr="00391FB8">
      <w:headerReference w:type="even" r:id="rId11"/>
      <w:footerReference w:type="even" r:id="rId12"/>
      <w:footerReference w:type="default" r:id="rId13"/>
      <w:head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57CB" w14:textId="77777777" w:rsidR="000C39D2" w:rsidRDefault="000C39D2">
      <w:r>
        <w:separator/>
      </w:r>
    </w:p>
  </w:endnote>
  <w:endnote w:type="continuationSeparator" w:id="0">
    <w:p w14:paraId="7C90E2FF" w14:textId="77777777" w:rsidR="000C39D2" w:rsidRDefault="000C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FFD6" w14:textId="69B5045F" w:rsidR="00C1353C" w:rsidRPr="00F40D58" w:rsidRDefault="00C1353C" w:rsidP="00896224">
    <w:pPr>
      <w:pStyle w:val="Piedepgina"/>
      <w:jc w:val="right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5A53" w14:textId="60759DFB" w:rsidR="00C1353C" w:rsidRPr="00C1353C" w:rsidRDefault="00C1353C" w:rsidP="00896224">
    <w:pPr>
      <w:pStyle w:val="Piedep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C789" w14:textId="77777777" w:rsidR="000C39D2" w:rsidRDefault="000C39D2">
      <w:r>
        <w:separator/>
      </w:r>
    </w:p>
  </w:footnote>
  <w:footnote w:type="continuationSeparator" w:id="0">
    <w:p w14:paraId="4D6D5A5F" w14:textId="77777777" w:rsidR="000C39D2" w:rsidRDefault="000C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261C" w14:textId="4402C4E8" w:rsidR="00C1353C" w:rsidRPr="00F40D58" w:rsidRDefault="00C1353C" w:rsidP="00C1353C">
    <w:pPr>
      <w:pStyle w:val="Encabezado"/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5583"/>
      <w:gridCol w:w="1792"/>
    </w:tblGrid>
    <w:tr w:rsidR="00391FB8" w14:paraId="4B316141" w14:textId="77777777" w:rsidTr="00391FB8">
      <w:tc>
        <w:tcPr>
          <w:tcW w:w="1985" w:type="dxa"/>
          <w:vAlign w:val="center"/>
        </w:tcPr>
        <w:p w14:paraId="4BE94EDC" w14:textId="7E8515EF" w:rsidR="00E22A15" w:rsidRDefault="001D26F0" w:rsidP="00391FB8">
          <w:pPr>
            <w:pStyle w:val="Encabezado"/>
            <w:ind w:left="-247" w:right="-190"/>
            <w:jc w:val="center"/>
          </w:pPr>
          <w:r>
            <w:rPr>
              <w:noProof/>
            </w:rPr>
            <w:drawing>
              <wp:inline distT="0" distB="0" distL="0" distR="0" wp14:anchorId="47EA6E9F" wp14:editId="4D1F9329">
                <wp:extent cx="1256546" cy="347345"/>
                <wp:effectExtent l="0" t="0" r="1270" b="0"/>
                <wp:docPr id="29271136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262" cy="347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E22A15" w:rsidRPr="00E22A15">
            <w:rPr>
              <w:noProof/>
            </w:rPr>
            <w:drawing>
              <wp:inline distT="0" distB="0" distL="0" distR="0" wp14:anchorId="7216DAB0" wp14:editId="1356552F">
                <wp:extent cx="714375" cy="25570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8969" b="89238" l="4494" r="92135">
                                      <a14:foregroundMark x1="12520" y1="48430" x2="12520" y2="48430"/>
                                      <a14:foregroundMark x1="6260" y1="46637" x2="6260" y2="46637"/>
                                      <a14:foregroundMark x1="23114" y1="46637" x2="23114" y2="46637"/>
                                      <a14:foregroundMark x1="28250" y1="49776" x2="28250" y2="49776"/>
                                      <a14:foregroundMark x1="43981" y1="45291" x2="43981" y2="45291"/>
                                      <a14:foregroundMark x1="49278" y1="39462" x2="49278" y2="39462"/>
                                      <a14:foregroundMark x1="53451" y1="52466" x2="53451" y2="52466"/>
                                      <a14:foregroundMark x1="65971" y1="45291" x2="65971" y2="45291"/>
                                      <a14:foregroundMark x1="74960" y1="49776" x2="74960" y2="49776"/>
                                      <a14:foregroundMark x1="81220" y1="49776" x2="81220" y2="49776"/>
                                      <a14:foregroundMark x1="91653" y1="48430" x2="91653" y2="48430"/>
                                      <a14:foregroundMark x1="92135" y1="33632" x2="92135" y2="33632"/>
                                      <a14:foregroundMark x1="5939" y1="64126" x2="5939" y2="64126"/>
                                      <a14:foregroundMark x1="4655" y1="45740" x2="4655" y2="45740"/>
                                      <a14:foregroundMark x1="4494" y1="59193" x2="4494" y2="59193"/>
                                    </a14:backgroundRemoval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648" cy="2615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3" w:type="dxa"/>
          <w:vAlign w:val="center"/>
        </w:tcPr>
        <w:p w14:paraId="27E3FF71" w14:textId="774D09FD" w:rsidR="00196A7F" w:rsidRPr="00B029DD" w:rsidRDefault="00196A7F" w:rsidP="00E22A15">
          <w:pPr>
            <w:pStyle w:val="Cabecero"/>
            <w:rPr>
              <w:rFonts w:ascii="Arial Nova" w:hAnsi="Arial Nova"/>
              <w:i w:val="0"/>
              <w:iCs w:val="0"/>
              <w:sz w:val="20"/>
              <w:szCs w:val="20"/>
            </w:rPr>
          </w:pPr>
          <w:r w:rsidRPr="00B029DD">
            <w:rPr>
              <w:rFonts w:ascii="Arial Nova" w:hAnsi="Arial Nova"/>
              <w:i w:val="0"/>
              <w:iCs w:val="0"/>
              <w:sz w:val="20"/>
              <w:szCs w:val="20"/>
            </w:rPr>
            <w:t>5</w:t>
          </w:r>
          <w:r w:rsidR="004972AE">
            <w:rPr>
              <w:rFonts w:ascii="Arial Nova" w:hAnsi="Arial Nova"/>
              <w:i w:val="0"/>
              <w:iCs w:val="0"/>
              <w:sz w:val="20"/>
              <w:szCs w:val="20"/>
            </w:rPr>
            <w:t>2</w:t>
          </w:r>
          <w:r w:rsidRPr="00B029DD">
            <w:rPr>
              <w:rFonts w:ascii="Arial Nova" w:hAnsi="Arial Nova"/>
              <w:i w:val="0"/>
              <w:iCs w:val="0"/>
              <w:sz w:val="20"/>
              <w:szCs w:val="20"/>
            </w:rPr>
            <w:t>ª Reunión Anual de la Sociedad Nuclear Española</w:t>
          </w:r>
        </w:p>
        <w:p w14:paraId="70CB5F26" w14:textId="3F4BFAA4" w:rsidR="00196A7F" w:rsidRPr="00B029DD" w:rsidRDefault="00451E46" w:rsidP="00E22A15">
          <w:pPr>
            <w:pStyle w:val="Cabecero"/>
            <w:rPr>
              <w:rFonts w:ascii="Arial Nova" w:hAnsi="Arial Nova"/>
              <w:i w:val="0"/>
              <w:iCs w:val="0"/>
              <w:sz w:val="20"/>
              <w:szCs w:val="20"/>
            </w:rPr>
          </w:pPr>
          <w:r>
            <w:rPr>
              <w:rFonts w:ascii="Arial Nova" w:hAnsi="Arial Nova"/>
              <w:i w:val="0"/>
              <w:iCs w:val="0"/>
              <w:sz w:val="20"/>
              <w:szCs w:val="20"/>
            </w:rPr>
            <w:t>5 – 9</w:t>
          </w:r>
          <w:r w:rsidR="00196A7F" w:rsidRPr="00B029DD">
            <w:rPr>
              <w:rFonts w:ascii="Arial Nova" w:hAnsi="Arial Nova"/>
              <w:i w:val="0"/>
              <w:iCs w:val="0"/>
              <w:sz w:val="20"/>
              <w:szCs w:val="20"/>
            </w:rPr>
            <w:t xml:space="preserve"> de </w:t>
          </w:r>
          <w:r>
            <w:rPr>
              <w:rFonts w:ascii="Arial Nova" w:hAnsi="Arial Nova"/>
              <w:i w:val="0"/>
              <w:iCs w:val="0"/>
              <w:sz w:val="20"/>
              <w:szCs w:val="20"/>
            </w:rPr>
            <w:t>octubre</w:t>
          </w:r>
          <w:r w:rsidR="00196A7F" w:rsidRPr="00B029DD">
            <w:rPr>
              <w:rFonts w:ascii="Arial Nova" w:hAnsi="Arial Nova"/>
              <w:i w:val="0"/>
              <w:iCs w:val="0"/>
              <w:sz w:val="20"/>
              <w:szCs w:val="20"/>
            </w:rPr>
            <w:t xml:space="preserve"> de 202</w:t>
          </w:r>
          <w:r>
            <w:rPr>
              <w:rFonts w:ascii="Arial Nova" w:hAnsi="Arial Nova"/>
              <w:i w:val="0"/>
              <w:iCs w:val="0"/>
              <w:sz w:val="20"/>
              <w:szCs w:val="20"/>
            </w:rPr>
            <w:t>6</w:t>
          </w:r>
        </w:p>
        <w:p w14:paraId="50831BEC" w14:textId="5D30547C" w:rsidR="00196A7F" w:rsidRPr="00196A7F" w:rsidRDefault="00451E46" w:rsidP="00E22A15">
          <w:pPr>
            <w:pStyle w:val="Cabecero"/>
            <w:rPr>
              <w:rFonts w:ascii="Arial Nova" w:hAnsi="Arial Nova"/>
            </w:rPr>
          </w:pPr>
          <w:r>
            <w:rPr>
              <w:rFonts w:ascii="Arial Nova" w:hAnsi="Arial Nova"/>
              <w:i w:val="0"/>
              <w:iCs w:val="0"/>
              <w:sz w:val="20"/>
              <w:szCs w:val="20"/>
            </w:rPr>
            <w:t>A Coruña</w:t>
          </w:r>
          <w:r w:rsidR="00196A7F" w:rsidRPr="00B029DD">
            <w:rPr>
              <w:rFonts w:ascii="Arial Nova" w:hAnsi="Arial Nova"/>
              <w:i w:val="0"/>
              <w:iCs w:val="0"/>
              <w:sz w:val="20"/>
              <w:szCs w:val="20"/>
            </w:rPr>
            <w:t>,</w:t>
          </w:r>
          <w:r>
            <w:rPr>
              <w:rFonts w:ascii="Arial Nova" w:hAnsi="Arial Nova"/>
              <w:i w:val="0"/>
              <w:iCs w:val="0"/>
              <w:sz w:val="20"/>
              <w:szCs w:val="20"/>
            </w:rPr>
            <w:t xml:space="preserve"> Galicia</w:t>
          </w:r>
        </w:p>
      </w:tc>
      <w:tc>
        <w:tcPr>
          <w:tcW w:w="1792" w:type="dxa"/>
          <w:vAlign w:val="center"/>
        </w:tcPr>
        <w:p w14:paraId="50D309F2" w14:textId="45D86129" w:rsidR="00196A7F" w:rsidRDefault="003F22FB" w:rsidP="00C257CC">
          <w:pPr>
            <w:pStyle w:val="Encabezado"/>
            <w:ind w:right="-104"/>
            <w:jc w:val="center"/>
          </w:pPr>
          <w:r w:rsidRPr="005B71FC">
            <w:rPr>
              <w:noProof/>
            </w:rPr>
            <w:drawing>
              <wp:inline distT="0" distB="0" distL="0" distR="0" wp14:anchorId="19142B41" wp14:editId="4F871DF9">
                <wp:extent cx="695700" cy="709613"/>
                <wp:effectExtent l="0" t="0" r="9525" b="0"/>
                <wp:docPr id="4" name="Imagen 4" descr="Z:\46 RA GRANADA\LOGO\Lema\SNE ESP C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46 RA GRANADA\LOGO\Lema\SNE ESP COL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925" cy="7159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E7AA4A" w14:textId="3EDC8665" w:rsidR="00196A7F" w:rsidRDefault="00B029DD">
    <w:pPr>
      <w:pStyle w:val="Encabezado"/>
    </w:pPr>
    <w:r w:rsidRPr="00E232B4">
      <w:rPr>
        <w:rFonts w:ascii="Arial Nova" w:hAnsi="Arial Nova"/>
        <w:noProof/>
      </w:rPr>
      <mc:AlternateContent>
        <mc:Choice Requires="wps">
          <w:drawing>
            <wp:inline distT="0" distB="0" distL="0" distR="0" wp14:anchorId="2D1CB8EB" wp14:editId="41EEDC3F">
              <wp:extent cx="5915660" cy="0"/>
              <wp:effectExtent l="0" t="0" r="0" b="0"/>
              <wp:docPr id="10" name="Conector rec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6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95C6B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49F52AB0" id="Conector recto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5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" strokecolor="#195c6b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25A05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618A8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EC4C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08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B30D0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A2233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46AA3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21A7D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5E7666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1C05F4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46E0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666AD9"/>
    <w:multiLevelType w:val="hybridMultilevel"/>
    <w:tmpl w:val="F6C8FE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72D7E"/>
    <w:multiLevelType w:val="hybridMultilevel"/>
    <w:tmpl w:val="F8B4A050"/>
    <w:lvl w:ilvl="0" w:tplc="5CDAAE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9BD5" w:themeColor="accent5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8D3AEA"/>
    <w:multiLevelType w:val="hybridMultilevel"/>
    <w:tmpl w:val="E4E275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0747D"/>
    <w:multiLevelType w:val="hybridMultilevel"/>
    <w:tmpl w:val="A0883104"/>
    <w:lvl w:ilvl="0" w:tplc="838CF9C4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  <w:lvl w:ilvl="1" w:tplc="8AEAD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4F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29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224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004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6CF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EAA2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97242E"/>
    <w:multiLevelType w:val="hybridMultilevel"/>
    <w:tmpl w:val="79DA28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873371"/>
    <w:multiLevelType w:val="hybridMultilevel"/>
    <w:tmpl w:val="FC445B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26107"/>
    <w:multiLevelType w:val="hybridMultilevel"/>
    <w:tmpl w:val="2916900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15883"/>
    <w:multiLevelType w:val="hybridMultilevel"/>
    <w:tmpl w:val="A0883104"/>
    <w:lvl w:ilvl="0" w:tplc="6016BF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181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701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6EF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486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581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16E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88F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62C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B42820"/>
    <w:multiLevelType w:val="multilevel"/>
    <w:tmpl w:val="05A62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9C785F"/>
    <w:multiLevelType w:val="hybridMultilevel"/>
    <w:tmpl w:val="6B66A10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8D37B8"/>
    <w:multiLevelType w:val="multilevel"/>
    <w:tmpl w:val="7F5C4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5712E99"/>
    <w:multiLevelType w:val="hybridMultilevel"/>
    <w:tmpl w:val="815E9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03F05"/>
    <w:multiLevelType w:val="hybridMultilevel"/>
    <w:tmpl w:val="D758D5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0813B8"/>
    <w:multiLevelType w:val="hybridMultilevel"/>
    <w:tmpl w:val="4524FF02"/>
    <w:lvl w:ilvl="0" w:tplc="C69AA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1A4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0A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6F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0A7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8B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2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67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C65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2832804">
    <w:abstractNumId w:val="9"/>
  </w:num>
  <w:num w:numId="2" w16cid:durableId="517744569">
    <w:abstractNumId w:val="9"/>
  </w:num>
  <w:num w:numId="3" w16cid:durableId="932015608">
    <w:abstractNumId w:val="9"/>
  </w:num>
  <w:num w:numId="4" w16cid:durableId="1569655187">
    <w:abstractNumId w:val="8"/>
  </w:num>
  <w:num w:numId="5" w16cid:durableId="901646398">
    <w:abstractNumId w:val="21"/>
  </w:num>
  <w:num w:numId="6" w16cid:durableId="1870529700">
    <w:abstractNumId w:val="24"/>
  </w:num>
  <w:num w:numId="7" w16cid:durableId="195240403">
    <w:abstractNumId w:val="14"/>
  </w:num>
  <w:num w:numId="8" w16cid:durableId="1888175080">
    <w:abstractNumId w:val="18"/>
  </w:num>
  <w:num w:numId="9" w16cid:durableId="1132406306">
    <w:abstractNumId w:val="19"/>
  </w:num>
  <w:num w:numId="10" w16cid:durableId="1165318269">
    <w:abstractNumId w:val="23"/>
  </w:num>
  <w:num w:numId="11" w16cid:durableId="1419713614">
    <w:abstractNumId w:val="0"/>
  </w:num>
  <w:num w:numId="12" w16cid:durableId="340939094">
    <w:abstractNumId w:val="17"/>
  </w:num>
  <w:num w:numId="13" w16cid:durableId="156848435">
    <w:abstractNumId w:val="5"/>
  </w:num>
  <w:num w:numId="14" w16cid:durableId="1925261338">
    <w:abstractNumId w:val="6"/>
  </w:num>
  <w:num w:numId="15" w16cid:durableId="1790389701">
    <w:abstractNumId w:val="7"/>
  </w:num>
  <w:num w:numId="16" w16cid:durableId="1803499168">
    <w:abstractNumId w:val="10"/>
  </w:num>
  <w:num w:numId="17" w16cid:durableId="89547662">
    <w:abstractNumId w:val="1"/>
  </w:num>
  <w:num w:numId="18" w16cid:durableId="1952928471">
    <w:abstractNumId w:val="2"/>
  </w:num>
  <w:num w:numId="19" w16cid:durableId="1108694782">
    <w:abstractNumId w:val="3"/>
  </w:num>
  <w:num w:numId="20" w16cid:durableId="845827615">
    <w:abstractNumId w:val="4"/>
  </w:num>
  <w:num w:numId="21" w16cid:durableId="1999766281">
    <w:abstractNumId w:val="13"/>
  </w:num>
  <w:num w:numId="22" w16cid:durableId="1932280232">
    <w:abstractNumId w:val="11"/>
  </w:num>
  <w:num w:numId="23" w16cid:durableId="114838437">
    <w:abstractNumId w:val="22"/>
  </w:num>
  <w:num w:numId="24" w16cid:durableId="360787727">
    <w:abstractNumId w:val="16"/>
  </w:num>
  <w:num w:numId="25" w16cid:durableId="1859126249">
    <w:abstractNumId w:val="20"/>
  </w:num>
  <w:num w:numId="26" w16cid:durableId="423915718">
    <w:abstractNumId w:val="15"/>
  </w:num>
  <w:num w:numId="27" w16cid:durableId="756251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xNDYzMjCzNDM2NjBV0lEKTi0uzszPAymwqAUAH94J0iwAAAA="/>
  </w:docVars>
  <w:rsids>
    <w:rsidRoot w:val="00BE698A"/>
    <w:rsid w:val="00000DFD"/>
    <w:rsid w:val="00003783"/>
    <w:rsid w:val="00015BC9"/>
    <w:rsid w:val="000170B4"/>
    <w:rsid w:val="00021471"/>
    <w:rsid w:val="00025CCA"/>
    <w:rsid w:val="00027356"/>
    <w:rsid w:val="000620F0"/>
    <w:rsid w:val="00063B8D"/>
    <w:rsid w:val="00067502"/>
    <w:rsid w:val="00074017"/>
    <w:rsid w:val="000744E7"/>
    <w:rsid w:val="00090F2C"/>
    <w:rsid w:val="000B4172"/>
    <w:rsid w:val="000C1D98"/>
    <w:rsid w:val="000C39D2"/>
    <w:rsid w:val="000C5012"/>
    <w:rsid w:val="000C6ECD"/>
    <w:rsid w:val="000C7775"/>
    <w:rsid w:val="000D239A"/>
    <w:rsid w:val="000E5B37"/>
    <w:rsid w:val="001138F6"/>
    <w:rsid w:val="00114EB9"/>
    <w:rsid w:val="001276C6"/>
    <w:rsid w:val="00132726"/>
    <w:rsid w:val="00136F6E"/>
    <w:rsid w:val="00144940"/>
    <w:rsid w:val="00146012"/>
    <w:rsid w:val="001522C9"/>
    <w:rsid w:val="00152388"/>
    <w:rsid w:val="00152AD5"/>
    <w:rsid w:val="00165EE8"/>
    <w:rsid w:val="00177734"/>
    <w:rsid w:val="00183DB7"/>
    <w:rsid w:val="0018446B"/>
    <w:rsid w:val="001870CE"/>
    <w:rsid w:val="00187D5C"/>
    <w:rsid w:val="00195430"/>
    <w:rsid w:val="00196A7F"/>
    <w:rsid w:val="001A1939"/>
    <w:rsid w:val="001A51B9"/>
    <w:rsid w:val="001A65EB"/>
    <w:rsid w:val="001A7D42"/>
    <w:rsid w:val="001B0199"/>
    <w:rsid w:val="001C4ED7"/>
    <w:rsid w:val="001D0662"/>
    <w:rsid w:val="001D0DD8"/>
    <w:rsid w:val="001D1F26"/>
    <w:rsid w:val="001D26F0"/>
    <w:rsid w:val="001D4FF3"/>
    <w:rsid w:val="001D59E9"/>
    <w:rsid w:val="001F711E"/>
    <w:rsid w:val="00202A8C"/>
    <w:rsid w:val="00212873"/>
    <w:rsid w:val="00224FAC"/>
    <w:rsid w:val="002327C8"/>
    <w:rsid w:val="002337E2"/>
    <w:rsid w:val="00233C82"/>
    <w:rsid w:val="002352F7"/>
    <w:rsid w:val="00242A6B"/>
    <w:rsid w:val="0027157F"/>
    <w:rsid w:val="002773AD"/>
    <w:rsid w:val="00277AB5"/>
    <w:rsid w:val="00277BBE"/>
    <w:rsid w:val="002802C5"/>
    <w:rsid w:val="00284459"/>
    <w:rsid w:val="0028654E"/>
    <w:rsid w:val="00291F81"/>
    <w:rsid w:val="002A393E"/>
    <w:rsid w:val="002A54E9"/>
    <w:rsid w:val="002A646E"/>
    <w:rsid w:val="002B0A46"/>
    <w:rsid w:val="002B2FAE"/>
    <w:rsid w:val="002C10B0"/>
    <w:rsid w:val="002C209D"/>
    <w:rsid w:val="002C6068"/>
    <w:rsid w:val="002D0B9E"/>
    <w:rsid w:val="002D2C78"/>
    <w:rsid w:val="002F5008"/>
    <w:rsid w:val="002F6FD6"/>
    <w:rsid w:val="00305300"/>
    <w:rsid w:val="00306E9B"/>
    <w:rsid w:val="00313768"/>
    <w:rsid w:val="0031491A"/>
    <w:rsid w:val="00316AB7"/>
    <w:rsid w:val="0033285C"/>
    <w:rsid w:val="00333FA1"/>
    <w:rsid w:val="00340B70"/>
    <w:rsid w:val="00343A2F"/>
    <w:rsid w:val="00343B9F"/>
    <w:rsid w:val="00355E5C"/>
    <w:rsid w:val="00364223"/>
    <w:rsid w:val="00365062"/>
    <w:rsid w:val="00372303"/>
    <w:rsid w:val="003759B9"/>
    <w:rsid w:val="003839F1"/>
    <w:rsid w:val="00384BF1"/>
    <w:rsid w:val="00386C0E"/>
    <w:rsid w:val="00391FB8"/>
    <w:rsid w:val="00394241"/>
    <w:rsid w:val="003A6E69"/>
    <w:rsid w:val="003B5B3B"/>
    <w:rsid w:val="003C2822"/>
    <w:rsid w:val="003C31F5"/>
    <w:rsid w:val="003C3D7F"/>
    <w:rsid w:val="003D1411"/>
    <w:rsid w:val="003D184D"/>
    <w:rsid w:val="003D64F2"/>
    <w:rsid w:val="003E6A1B"/>
    <w:rsid w:val="003F22FB"/>
    <w:rsid w:val="00402FC4"/>
    <w:rsid w:val="0040505B"/>
    <w:rsid w:val="00421E85"/>
    <w:rsid w:val="00425398"/>
    <w:rsid w:val="004267A9"/>
    <w:rsid w:val="004277E7"/>
    <w:rsid w:val="00434FEA"/>
    <w:rsid w:val="00447876"/>
    <w:rsid w:val="00447D25"/>
    <w:rsid w:val="00451E46"/>
    <w:rsid w:val="00452CA0"/>
    <w:rsid w:val="004848C7"/>
    <w:rsid w:val="00493F85"/>
    <w:rsid w:val="004972AE"/>
    <w:rsid w:val="004A39CB"/>
    <w:rsid w:val="004A4CD5"/>
    <w:rsid w:val="004C77BE"/>
    <w:rsid w:val="004D0A97"/>
    <w:rsid w:val="004D0E2F"/>
    <w:rsid w:val="004E24D3"/>
    <w:rsid w:val="004E3993"/>
    <w:rsid w:val="004E5B07"/>
    <w:rsid w:val="004E6E74"/>
    <w:rsid w:val="00500A62"/>
    <w:rsid w:val="00510206"/>
    <w:rsid w:val="005161C4"/>
    <w:rsid w:val="00516E9A"/>
    <w:rsid w:val="00535571"/>
    <w:rsid w:val="005404CE"/>
    <w:rsid w:val="00544793"/>
    <w:rsid w:val="005501E2"/>
    <w:rsid w:val="00566755"/>
    <w:rsid w:val="00567883"/>
    <w:rsid w:val="00573F8A"/>
    <w:rsid w:val="005766A7"/>
    <w:rsid w:val="00582BE2"/>
    <w:rsid w:val="00593473"/>
    <w:rsid w:val="0059691F"/>
    <w:rsid w:val="005A7A70"/>
    <w:rsid w:val="005B16E3"/>
    <w:rsid w:val="005B3CF6"/>
    <w:rsid w:val="005B71FC"/>
    <w:rsid w:val="005C353B"/>
    <w:rsid w:val="005C4F4B"/>
    <w:rsid w:val="005D5711"/>
    <w:rsid w:val="005E2598"/>
    <w:rsid w:val="005E38C9"/>
    <w:rsid w:val="005E595C"/>
    <w:rsid w:val="005F5B36"/>
    <w:rsid w:val="00601250"/>
    <w:rsid w:val="00601587"/>
    <w:rsid w:val="00610D05"/>
    <w:rsid w:val="0061578B"/>
    <w:rsid w:val="006164EA"/>
    <w:rsid w:val="00624B8B"/>
    <w:rsid w:val="006311DB"/>
    <w:rsid w:val="006353C7"/>
    <w:rsid w:val="00645E9E"/>
    <w:rsid w:val="006569D5"/>
    <w:rsid w:val="00656A02"/>
    <w:rsid w:val="006631E4"/>
    <w:rsid w:val="006645FE"/>
    <w:rsid w:val="00671195"/>
    <w:rsid w:val="0068203A"/>
    <w:rsid w:val="00683320"/>
    <w:rsid w:val="006A298B"/>
    <w:rsid w:val="006A3494"/>
    <w:rsid w:val="006A4FE2"/>
    <w:rsid w:val="006B75D8"/>
    <w:rsid w:val="006C0DE7"/>
    <w:rsid w:val="006D771B"/>
    <w:rsid w:val="006F78C4"/>
    <w:rsid w:val="00705F66"/>
    <w:rsid w:val="00710EEE"/>
    <w:rsid w:val="0071390C"/>
    <w:rsid w:val="007240B8"/>
    <w:rsid w:val="00731B99"/>
    <w:rsid w:val="0073330A"/>
    <w:rsid w:val="00744590"/>
    <w:rsid w:val="00756720"/>
    <w:rsid w:val="00763DC7"/>
    <w:rsid w:val="0076499F"/>
    <w:rsid w:val="0077255E"/>
    <w:rsid w:val="00781993"/>
    <w:rsid w:val="00781F1F"/>
    <w:rsid w:val="00795761"/>
    <w:rsid w:val="007B2BB4"/>
    <w:rsid w:val="007B6467"/>
    <w:rsid w:val="007B7C69"/>
    <w:rsid w:val="007C0468"/>
    <w:rsid w:val="007C670F"/>
    <w:rsid w:val="007C6B71"/>
    <w:rsid w:val="007D3221"/>
    <w:rsid w:val="007D4A70"/>
    <w:rsid w:val="007D7A53"/>
    <w:rsid w:val="007F68DE"/>
    <w:rsid w:val="00800275"/>
    <w:rsid w:val="00800C55"/>
    <w:rsid w:val="00805111"/>
    <w:rsid w:val="0081107A"/>
    <w:rsid w:val="008144B6"/>
    <w:rsid w:val="00825F34"/>
    <w:rsid w:val="0083099D"/>
    <w:rsid w:val="00833D7A"/>
    <w:rsid w:val="00836BF1"/>
    <w:rsid w:val="00836E10"/>
    <w:rsid w:val="0084303B"/>
    <w:rsid w:val="00843255"/>
    <w:rsid w:val="0084434B"/>
    <w:rsid w:val="008446B2"/>
    <w:rsid w:val="0084573E"/>
    <w:rsid w:val="0085058A"/>
    <w:rsid w:val="00854DEE"/>
    <w:rsid w:val="008557FF"/>
    <w:rsid w:val="00855D0F"/>
    <w:rsid w:val="0085615D"/>
    <w:rsid w:val="008721E4"/>
    <w:rsid w:val="008820BB"/>
    <w:rsid w:val="00884C77"/>
    <w:rsid w:val="00885B3B"/>
    <w:rsid w:val="00887751"/>
    <w:rsid w:val="00896224"/>
    <w:rsid w:val="008A27F4"/>
    <w:rsid w:val="008B0701"/>
    <w:rsid w:val="008B52F7"/>
    <w:rsid w:val="008D2E1B"/>
    <w:rsid w:val="008D31CD"/>
    <w:rsid w:val="008E484A"/>
    <w:rsid w:val="008E7C23"/>
    <w:rsid w:val="008F0A29"/>
    <w:rsid w:val="008F1D5B"/>
    <w:rsid w:val="008F501C"/>
    <w:rsid w:val="009034F2"/>
    <w:rsid w:val="00903B5E"/>
    <w:rsid w:val="009147D0"/>
    <w:rsid w:val="00922EF6"/>
    <w:rsid w:val="0093574D"/>
    <w:rsid w:val="00937811"/>
    <w:rsid w:val="00943F91"/>
    <w:rsid w:val="009525F6"/>
    <w:rsid w:val="0095384B"/>
    <w:rsid w:val="00955D3E"/>
    <w:rsid w:val="00955D6A"/>
    <w:rsid w:val="009807CB"/>
    <w:rsid w:val="00983AAF"/>
    <w:rsid w:val="00995268"/>
    <w:rsid w:val="009A6014"/>
    <w:rsid w:val="009A7024"/>
    <w:rsid w:val="009A78AB"/>
    <w:rsid w:val="009D1BAD"/>
    <w:rsid w:val="009D3E62"/>
    <w:rsid w:val="009F0C1C"/>
    <w:rsid w:val="00A04081"/>
    <w:rsid w:val="00A0589C"/>
    <w:rsid w:val="00A14BFC"/>
    <w:rsid w:val="00A16558"/>
    <w:rsid w:val="00A24D37"/>
    <w:rsid w:val="00A26AF7"/>
    <w:rsid w:val="00A36A08"/>
    <w:rsid w:val="00A379F6"/>
    <w:rsid w:val="00A73743"/>
    <w:rsid w:val="00A859AF"/>
    <w:rsid w:val="00A92D41"/>
    <w:rsid w:val="00A94C3C"/>
    <w:rsid w:val="00A956A8"/>
    <w:rsid w:val="00AA73A8"/>
    <w:rsid w:val="00AB1792"/>
    <w:rsid w:val="00AB38CA"/>
    <w:rsid w:val="00AB6923"/>
    <w:rsid w:val="00AC2EAC"/>
    <w:rsid w:val="00AC6035"/>
    <w:rsid w:val="00AD4390"/>
    <w:rsid w:val="00AD59E8"/>
    <w:rsid w:val="00AD669C"/>
    <w:rsid w:val="00AE2706"/>
    <w:rsid w:val="00AE7C97"/>
    <w:rsid w:val="00B010F3"/>
    <w:rsid w:val="00B029DD"/>
    <w:rsid w:val="00B127D2"/>
    <w:rsid w:val="00B22610"/>
    <w:rsid w:val="00B25773"/>
    <w:rsid w:val="00B36E47"/>
    <w:rsid w:val="00B63AB8"/>
    <w:rsid w:val="00B66674"/>
    <w:rsid w:val="00B66D1D"/>
    <w:rsid w:val="00B76D52"/>
    <w:rsid w:val="00B819BF"/>
    <w:rsid w:val="00B822AE"/>
    <w:rsid w:val="00B82861"/>
    <w:rsid w:val="00B86A3B"/>
    <w:rsid w:val="00B86D77"/>
    <w:rsid w:val="00B87D08"/>
    <w:rsid w:val="00B916D0"/>
    <w:rsid w:val="00B93216"/>
    <w:rsid w:val="00B975E4"/>
    <w:rsid w:val="00B97834"/>
    <w:rsid w:val="00BB17F2"/>
    <w:rsid w:val="00BB4179"/>
    <w:rsid w:val="00BC38E7"/>
    <w:rsid w:val="00BE1175"/>
    <w:rsid w:val="00BE3F47"/>
    <w:rsid w:val="00BE4107"/>
    <w:rsid w:val="00BE698A"/>
    <w:rsid w:val="00BF5AAE"/>
    <w:rsid w:val="00BF5E81"/>
    <w:rsid w:val="00BF62EC"/>
    <w:rsid w:val="00C122A3"/>
    <w:rsid w:val="00C1353C"/>
    <w:rsid w:val="00C257CC"/>
    <w:rsid w:val="00C25884"/>
    <w:rsid w:val="00C30DB8"/>
    <w:rsid w:val="00C46512"/>
    <w:rsid w:val="00C46853"/>
    <w:rsid w:val="00C5447D"/>
    <w:rsid w:val="00C55713"/>
    <w:rsid w:val="00C572AA"/>
    <w:rsid w:val="00C57354"/>
    <w:rsid w:val="00C75BAC"/>
    <w:rsid w:val="00C83DF4"/>
    <w:rsid w:val="00C95080"/>
    <w:rsid w:val="00CC2493"/>
    <w:rsid w:val="00CC4ED8"/>
    <w:rsid w:val="00CD0BA4"/>
    <w:rsid w:val="00CD2AD2"/>
    <w:rsid w:val="00CD4002"/>
    <w:rsid w:val="00CD5EE8"/>
    <w:rsid w:val="00CD7766"/>
    <w:rsid w:val="00CE0C27"/>
    <w:rsid w:val="00CF1A88"/>
    <w:rsid w:val="00CF29D0"/>
    <w:rsid w:val="00D0378C"/>
    <w:rsid w:val="00D073D2"/>
    <w:rsid w:val="00D11CFC"/>
    <w:rsid w:val="00D22A7B"/>
    <w:rsid w:val="00D26CFF"/>
    <w:rsid w:val="00D53422"/>
    <w:rsid w:val="00D539A1"/>
    <w:rsid w:val="00D54435"/>
    <w:rsid w:val="00D61A94"/>
    <w:rsid w:val="00D73862"/>
    <w:rsid w:val="00D76E3E"/>
    <w:rsid w:val="00D81ABB"/>
    <w:rsid w:val="00D82830"/>
    <w:rsid w:val="00D9187F"/>
    <w:rsid w:val="00D96FA0"/>
    <w:rsid w:val="00DA2AD7"/>
    <w:rsid w:val="00DB71B6"/>
    <w:rsid w:val="00DC40F9"/>
    <w:rsid w:val="00DD3B7E"/>
    <w:rsid w:val="00DD3EEB"/>
    <w:rsid w:val="00DD6C10"/>
    <w:rsid w:val="00DE46B5"/>
    <w:rsid w:val="00DE69BA"/>
    <w:rsid w:val="00DF1B7D"/>
    <w:rsid w:val="00DF29EE"/>
    <w:rsid w:val="00E02D50"/>
    <w:rsid w:val="00E1259A"/>
    <w:rsid w:val="00E14499"/>
    <w:rsid w:val="00E1699A"/>
    <w:rsid w:val="00E17985"/>
    <w:rsid w:val="00E22A15"/>
    <w:rsid w:val="00E232B4"/>
    <w:rsid w:val="00E24E24"/>
    <w:rsid w:val="00E26903"/>
    <w:rsid w:val="00E269BC"/>
    <w:rsid w:val="00E4123A"/>
    <w:rsid w:val="00E43A8F"/>
    <w:rsid w:val="00E52FCE"/>
    <w:rsid w:val="00E64B6F"/>
    <w:rsid w:val="00E70BE8"/>
    <w:rsid w:val="00E72436"/>
    <w:rsid w:val="00E739BC"/>
    <w:rsid w:val="00E756ED"/>
    <w:rsid w:val="00E82532"/>
    <w:rsid w:val="00E92B28"/>
    <w:rsid w:val="00EA15B1"/>
    <w:rsid w:val="00EA2796"/>
    <w:rsid w:val="00EA5341"/>
    <w:rsid w:val="00EC190B"/>
    <w:rsid w:val="00F012A3"/>
    <w:rsid w:val="00F10BEA"/>
    <w:rsid w:val="00F16296"/>
    <w:rsid w:val="00F2409C"/>
    <w:rsid w:val="00F36156"/>
    <w:rsid w:val="00F40D58"/>
    <w:rsid w:val="00F42535"/>
    <w:rsid w:val="00F47701"/>
    <w:rsid w:val="00F5001C"/>
    <w:rsid w:val="00F563E2"/>
    <w:rsid w:val="00F6469C"/>
    <w:rsid w:val="00F66B0A"/>
    <w:rsid w:val="00F70865"/>
    <w:rsid w:val="00F71AEF"/>
    <w:rsid w:val="00F87332"/>
    <w:rsid w:val="00F9333B"/>
    <w:rsid w:val="00FA2870"/>
    <w:rsid w:val="00FA69B7"/>
    <w:rsid w:val="00FC4937"/>
    <w:rsid w:val="00FC5552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43D122"/>
  <w15:docId w15:val="{006A233D-9873-43D1-8C43-324914B7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267A9"/>
    <w:pPr>
      <w:overflowPunct w:val="0"/>
      <w:autoSpaceDE w:val="0"/>
      <w:autoSpaceDN w:val="0"/>
      <w:adjustRightInd w:val="0"/>
      <w:jc w:val="both"/>
      <w:textAlignment w:val="baseline"/>
    </w:pPr>
    <w:rPr>
      <w:sz w:val="22"/>
    </w:rPr>
  </w:style>
  <w:style w:type="paragraph" w:styleId="Ttulo1">
    <w:name w:val="heading 1"/>
    <w:basedOn w:val="Normal"/>
    <w:next w:val="Normal"/>
    <w:rsid w:val="00A24D37"/>
    <w:pPr>
      <w:keepNext/>
      <w:widowControl w:val="0"/>
      <w:outlineLvl w:val="0"/>
    </w:pPr>
    <w:rPr>
      <w:rFonts w:cs="Arial"/>
      <w:b/>
      <w:bCs/>
      <w:snapToGrid w:val="0"/>
      <w:kern w:val="32"/>
      <w:szCs w:val="32"/>
    </w:rPr>
  </w:style>
  <w:style w:type="paragraph" w:styleId="Ttulo2">
    <w:name w:val="heading 2"/>
    <w:basedOn w:val="Normal"/>
    <w:next w:val="Normal"/>
    <w:pPr>
      <w:keepNext/>
      <w:widowControl w:val="0"/>
      <w:spacing w:before="240" w:after="60"/>
      <w:outlineLvl w:val="1"/>
    </w:pPr>
    <w:rPr>
      <w:rFonts w:cs="Arial"/>
      <w:b/>
      <w:bCs/>
      <w:iCs/>
      <w:snapToGrid w:val="0"/>
      <w:szCs w:val="28"/>
    </w:rPr>
  </w:style>
  <w:style w:type="paragraph" w:styleId="Ttulo3">
    <w:name w:val="heading 3"/>
    <w:basedOn w:val="Normal"/>
    <w:next w:val="Normal"/>
    <w:pPr>
      <w:keepNext/>
      <w:widowControl w:val="0"/>
      <w:outlineLvl w:val="2"/>
    </w:pPr>
    <w:rPr>
      <w:rFonts w:cs="Arial"/>
      <w:b/>
      <w:bCs/>
      <w:snapToGrid w:val="0"/>
      <w:szCs w:val="26"/>
    </w:rPr>
  </w:style>
  <w:style w:type="paragraph" w:styleId="Ttulo4">
    <w:name w:val="heading 4"/>
    <w:aliases w:val="Apartado"/>
    <w:basedOn w:val="Ttulo1"/>
    <w:next w:val="Normal"/>
    <w:link w:val="Ttulo4Car"/>
    <w:uiPriority w:val="9"/>
    <w:unhideWhenUsed/>
    <w:qFormat/>
    <w:rsid w:val="00516E9A"/>
    <w:pPr>
      <w:spacing w:line="276" w:lineRule="auto"/>
      <w:jc w:val="left"/>
      <w:outlineLvl w:val="3"/>
    </w:pPr>
    <w:rPr>
      <w:rFonts w:ascii="Arial Nova" w:hAnsi="Arial Nova" w:cs="Times New Roman"/>
      <w:color w:val="195C6B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pPr>
      <w:tabs>
        <w:tab w:val="left" w:pos="360"/>
      </w:tabs>
      <w:ind w:firstLine="360"/>
    </w:pPr>
    <w:rPr>
      <w:rFonts w:ascii="Times" w:hAnsi="Times"/>
      <w:snapToGrid w:val="0"/>
    </w:rPr>
  </w:style>
  <w:style w:type="paragraph" w:styleId="Ttulo">
    <w:name w:val="Title"/>
    <w:basedOn w:val="Normal"/>
    <w:qFormat/>
    <w:rsid w:val="00E232B4"/>
    <w:pPr>
      <w:widowControl w:val="0"/>
      <w:spacing w:before="240" w:after="60"/>
      <w:jc w:val="left"/>
      <w:outlineLvl w:val="0"/>
    </w:pPr>
    <w:rPr>
      <w:rFonts w:ascii="Arial Nova" w:hAnsi="Arial Nova"/>
      <w:b/>
      <w:bCs/>
      <w:snapToGrid w:val="0"/>
      <w:color w:val="195C6B"/>
      <w:kern w:val="28"/>
      <w:sz w:val="28"/>
      <w:szCs w:val="28"/>
      <w:lang w:val="es-ES"/>
    </w:rPr>
  </w:style>
  <w:style w:type="paragraph" w:styleId="Listaconnmeros">
    <w:name w:val="List Number"/>
    <w:basedOn w:val="Normal"/>
    <w:pPr>
      <w:widowControl w:val="0"/>
      <w:numPr>
        <w:numId w:val="3"/>
      </w:numPr>
    </w:pPr>
    <w:rPr>
      <w:snapToGrid w:val="0"/>
    </w:rPr>
  </w:style>
  <w:style w:type="paragraph" w:styleId="Descripcin">
    <w:name w:val="caption"/>
    <w:basedOn w:val="Normal"/>
    <w:next w:val="Normal"/>
    <w:pPr>
      <w:framePr w:hSpace="187" w:vSpace="187" w:wrap="around" w:vAnchor="text" w:hAnchor="text" w:y="1" w:anchorLock="1"/>
      <w:spacing w:before="120" w:after="120"/>
    </w:pPr>
    <w:rPr>
      <w:b/>
      <w:bCs/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Listaconvietas2">
    <w:name w:val="List Bullet 2"/>
    <w:basedOn w:val="Normal"/>
    <w:autoRedefine/>
    <w:pPr>
      <w:widowControl w:val="0"/>
      <w:numPr>
        <w:numId w:val="4"/>
      </w:numPr>
      <w:wordWrap w:val="0"/>
      <w:overflowPunct/>
      <w:adjustRightInd/>
      <w:spacing w:line="280" w:lineRule="exact"/>
      <w:textAlignment w:val="auto"/>
    </w:pPr>
    <w:rPr>
      <w:rFonts w:eastAsia="Batang"/>
      <w:kern w:val="2"/>
      <w:szCs w:val="24"/>
      <w:lang w:eastAsia="ko-KR"/>
    </w:rPr>
  </w:style>
  <w:style w:type="paragraph" w:styleId="Textoindependiente3">
    <w:name w:val="Body Text 3"/>
    <w:basedOn w:val="Normal"/>
    <w:pPr>
      <w:wordWrap w:val="0"/>
      <w:overflowPunct/>
      <w:adjustRightInd/>
      <w:textAlignment w:val="auto"/>
    </w:pPr>
    <w:rPr>
      <w:rFonts w:eastAsia="Batang"/>
      <w:kern w:val="2"/>
      <w:szCs w:val="24"/>
      <w:lang w:eastAsia="ko-KR"/>
    </w:rPr>
  </w:style>
  <w:style w:type="paragraph" w:styleId="Textonotapie">
    <w:name w:val="footnote text"/>
    <w:basedOn w:val="Normal"/>
    <w:semiHidden/>
    <w:rsid w:val="00671195"/>
    <w:pPr>
      <w:widowControl w:val="0"/>
      <w:wordWrap w:val="0"/>
      <w:overflowPunct/>
      <w:adjustRightInd/>
      <w:spacing w:line="280" w:lineRule="exact"/>
      <w:textAlignment w:val="auto"/>
    </w:pPr>
    <w:rPr>
      <w:rFonts w:eastAsia="Batang"/>
      <w:kern w:val="2"/>
      <w:sz w:val="20"/>
      <w:lang w:eastAsia="ko-KR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abstract">
    <w:name w:val="abstract"/>
    <w:basedOn w:val="Textoindependiente3"/>
    <w:pPr>
      <w:spacing w:line="240" w:lineRule="exact"/>
      <w:ind w:left="720" w:right="720"/>
    </w:pPr>
    <w:rPr>
      <w:sz w:val="20"/>
    </w:rPr>
  </w:style>
  <w:style w:type="paragraph" w:styleId="Textoindependiente2">
    <w:name w:val="Body Text 2"/>
    <w:basedOn w:val="Normal"/>
    <w:autoRedefine/>
    <w:pPr>
      <w:widowControl w:val="0"/>
      <w:wordWrap w:val="0"/>
      <w:overflowPunct/>
      <w:adjustRightInd/>
      <w:spacing w:before="120" w:after="60" w:line="280" w:lineRule="exact"/>
      <w:textAlignment w:val="auto"/>
    </w:pPr>
    <w:rPr>
      <w:rFonts w:eastAsia="Batang"/>
      <w:kern w:val="2"/>
      <w:szCs w:val="24"/>
      <w:lang w:eastAsia="ko-KR"/>
    </w:r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overflowPunct/>
      <w:autoSpaceDE/>
      <w:autoSpaceDN/>
      <w:adjustRightInd/>
      <w:spacing w:before="100" w:beforeAutospacing="1" w:after="100" w:afterAutospacing="1" w:line="280" w:lineRule="exact"/>
      <w:textAlignment w:val="auto"/>
    </w:pPr>
    <w:rPr>
      <w:rFonts w:ascii="Batang" w:eastAsia="Batang" w:hAnsi="Batang"/>
      <w:color w:val="000000"/>
      <w:szCs w:val="24"/>
      <w:lang w:eastAsia="ko-KR"/>
    </w:rPr>
  </w:style>
  <w:style w:type="paragraph" w:customStyle="1" w:styleId="Default">
    <w:name w:val="Default"/>
    <w:rsid w:val="003C28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379F6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79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9F6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1353C"/>
    <w:rPr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0D58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0D58"/>
  </w:style>
  <w:style w:type="character" w:styleId="Refdenotaalfinal">
    <w:name w:val="endnote reference"/>
    <w:basedOn w:val="Fuentedeprrafopredeter"/>
    <w:uiPriority w:val="99"/>
    <w:semiHidden/>
    <w:unhideWhenUsed/>
    <w:rsid w:val="00F40D5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86C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86C0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86C0E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6C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6C0E"/>
    <w:rPr>
      <w:b/>
      <w:bCs/>
    </w:rPr>
  </w:style>
  <w:style w:type="paragraph" w:styleId="Revisin">
    <w:name w:val="Revision"/>
    <w:hidden/>
    <w:uiPriority w:val="71"/>
    <w:semiHidden/>
    <w:rsid w:val="003A6E69"/>
    <w:rPr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E5B07"/>
    <w:rPr>
      <w:color w:val="605E5C"/>
      <w:shd w:val="clear" w:color="auto" w:fill="E1DFDD"/>
    </w:rPr>
  </w:style>
  <w:style w:type="paragraph" w:customStyle="1" w:styleId="Autores">
    <w:name w:val="Autores"/>
    <w:basedOn w:val="Normal"/>
    <w:qFormat/>
    <w:rsid w:val="00E232B4"/>
    <w:pPr>
      <w:widowControl w:val="0"/>
      <w:spacing w:before="240" w:after="60"/>
      <w:jc w:val="left"/>
      <w:outlineLvl w:val="0"/>
    </w:pPr>
    <w:rPr>
      <w:rFonts w:ascii="Arial Nova" w:hAnsi="Arial Nova"/>
      <w:b/>
      <w:bCs/>
      <w:snapToGrid w:val="0"/>
      <w:color w:val="195C6B"/>
      <w:kern w:val="28"/>
      <w:sz w:val="24"/>
      <w:szCs w:val="24"/>
      <w:lang w:val="es-ES"/>
    </w:rPr>
  </w:style>
  <w:style w:type="paragraph" w:customStyle="1" w:styleId="Afiliaciones">
    <w:name w:val="Afiliaciones"/>
    <w:basedOn w:val="Normal"/>
    <w:qFormat/>
    <w:rsid w:val="00E232B4"/>
    <w:pPr>
      <w:snapToGrid w:val="0"/>
      <w:jc w:val="left"/>
    </w:pPr>
    <w:rPr>
      <w:rFonts w:ascii="Arial Nova" w:hAnsi="Arial Nova"/>
      <w:sz w:val="20"/>
      <w:lang w:val="es-ES"/>
    </w:rPr>
  </w:style>
  <w:style w:type="paragraph" w:customStyle="1" w:styleId="Textodesinopsis">
    <w:name w:val="Texto de sinopsis"/>
    <w:basedOn w:val="Textoindependiente3"/>
    <w:qFormat/>
    <w:rsid w:val="00800275"/>
    <w:pPr>
      <w:spacing w:before="120" w:after="120" w:line="276" w:lineRule="auto"/>
      <w:ind w:right="6"/>
    </w:pPr>
    <w:rPr>
      <w:rFonts w:ascii="Arial Nova" w:hAnsi="Arial Nova"/>
      <w:sz w:val="20"/>
      <w:szCs w:val="20"/>
      <w:lang w:val="es-ES"/>
    </w:rPr>
  </w:style>
  <w:style w:type="paragraph" w:customStyle="1" w:styleId="Cabecero">
    <w:name w:val="Cabecero"/>
    <w:basedOn w:val="Encabezado"/>
    <w:qFormat/>
    <w:rsid w:val="0084434B"/>
    <w:pPr>
      <w:jc w:val="center"/>
    </w:pPr>
    <w:rPr>
      <w:b/>
      <w:bCs/>
      <w:i/>
      <w:iCs/>
      <w:color w:val="195C6B"/>
      <w:szCs w:val="24"/>
      <w:lang w:val="es-ES"/>
    </w:rPr>
  </w:style>
  <w:style w:type="character" w:styleId="nfasissutil">
    <w:name w:val="Subtle Emphasis"/>
    <w:basedOn w:val="Fuentedeprrafopredeter"/>
    <w:uiPriority w:val="19"/>
    <w:rsid w:val="00F87332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rsid w:val="00F87332"/>
    <w:rPr>
      <w:b/>
      <w:bCs/>
    </w:rPr>
  </w:style>
  <w:style w:type="paragraph" w:customStyle="1" w:styleId="TtuloA">
    <w:name w:val="Título A"/>
    <w:basedOn w:val="Ttulo1"/>
    <w:rsid w:val="00F87332"/>
    <w:pPr>
      <w:jc w:val="center"/>
    </w:pPr>
  </w:style>
  <w:style w:type="table" w:styleId="Tablaconcuadrcula">
    <w:name w:val="Table Grid"/>
    <w:basedOn w:val="Tablanormal"/>
    <w:uiPriority w:val="59"/>
    <w:rsid w:val="00884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desinopsis">
    <w:name w:val="Título de sinopsis"/>
    <w:basedOn w:val="Autores"/>
    <w:rsid w:val="00D81ABB"/>
  </w:style>
  <w:style w:type="character" w:customStyle="1" w:styleId="Ttulo4Car">
    <w:name w:val="Título 4 Car"/>
    <w:aliases w:val="Apartado Car"/>
    <w:basedOn w:val="Fuentedeprrafopredeter"/>
    <w:link w:val="Ttulo4"/>
    <w:uiPriority w:val="9"/>
    <w:rsid w:val="00516E9A"/>
    <w:rPr>
      <w:rFonts w:ascii="Arial Nova" w:hAnsi="Arial Nova"/>
      <w:b/>
      <w:bCs/>
      <w:snapToGrid w:val="0"/>
      <w:color w:val="195C6B"/>
      <w:kern w:val="32"/>
      <w:sz w:val="24"/>
      <w:szCs w:val="24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E6E74"/>
    <w:rPr>
      <w:rFonts w:ascii="Times" w:hAnsi="Times"/>
      <w:snapToGrid w:val="0"/>
      <w:sz w:val="22"/>
    </w:rPr>
  </w:style>
  <w:style w:type="paragraph" w:customStyle="1" w:styleId="Contacto">
    <w:name w:val="Contacto"/>
    <w:basedOn w:val="Afiliaciones"/>
    <w:rsid w:val="008E7C23"/>
    <w:rPr>
      <w:i/>
      <w:iCs/>
      <w:color w:val="195C6B"/>
    </w:rPr>
  </w:style>
  <w:style w:type="paragraph" w:customStyle="1" w:styleId="Emaildecontacto">
    <w:name w:val="Email de contacto"/>
    <w:basedOn w:val="Afiliaciones"/>
    <w:rsid w:val="00333FA1"/>
    <w:rPr>
      <w:i/>
      <w:iCs/>
      <w:color w:val="185C6B"/>
    </w:rPr>
  </w:style>
  <w:style w:type="paragraph" w:styleId="Prrafodelista">
    <w:name w:val="List Paragraph"/>
    <w:basedOn w:val="Normal"/>
    <w:uiPriority w:val="72"/>
    <w:rsid w:val="00845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861A199C7BEA45943306FCDDFAB236" ma:contentTypeVersion="15" ma:contentTypeDescription="Crear nuevo documento." ma:contentTypeScope="" ma:versionID="1251e50434594c68b24f40b62632b105">
  <xsd:schema xmlns:xsd="http://www.w3.org/2001/XMLSchema" xmlns:xs="http://www.w3.org/2001/XMLSchema" xmlns:p="http://schemas.microsoft.com/office/2006/metadata/properties" xmlns:ns2="3402f4eb-4369-45b9-a3fa-7e608e4a80cc" xmlns:ns3="df4c7a5c-b3a5-430e-9d0c-d059cdd3de81" targetNamespace="http://schemas.microsoft.com/office/2006/metadata/properties" ma:root="true" ma:fieldsID="5f972dc16a6d816d25f6de6c3a8ecaae" ns2:_="" ns3:_="">
    <xsd:import namespace="3402f4eb-4369-45b9-a3fa-7e608e4a80cc"/>
    <xsd:import namespace="df4c7a5c-b3a5-430e-9d0c-d059cdd3d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2f4eb-4369-45b9-a3fa-7e608e4a80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aa60cc7-b0df-455f-979a-0c0eee881db3}" ma:internalName="TaxCatchAll" ma:showField="CatchAllData" ma:web="3402f4eb-4369-45b9-a3fa-7e608e4a8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c7a5c-b3a5-430e-9d0c-d059cdd3d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2575e52-3e5f-4a4c-9122-9f0195bc6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c7a5c-b3a5-430e-9d0c-d059cdd3de81">
      <Terms xmlns="http://schemas.microsoft.com/office/infopath/2007/PartnerControls"/>
    </lcf76f155ced4ddcb4097134ff3c332f>
    <TaxCatchAll xmlns="3402f4eb-4369-45b9-a3fa-7e608e4a80cc" xsi:nil="true"/>
  </documentManagement>
</p:properties>
</file>

<file path=customXml/itemProps1.xml><?xml version="1.0" encoding="utf-8"?>
<ds:datastoreItem xmlns:ds="http://schemas.openxmlformats.org/officeDocument/2006/customXml" ds:itemID="{5FD50C6E-6E71-4179-9BA4-E6C4C5109E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97E0A-5E67-4498-A363-3A1104523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02f4eb-4369-45b9-a3fa-7e608e4a80cc"/>
    <ds:schemaRef ds:uri="df4c7a5c-b3a5-430e-9d0c-d059cdd3d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3CC7D-095C-48DC-9D4A-917507990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6A4DED-4BD6-4A50-8605-68F7986D2411}">
  <ds:schemaRefs>
    <ds:schemaRef ds:uri="http://schemas.microsoft.com/office/2006/metadata/properties"/>
    <ds:schemaRef ds:uri="http://www.w3.org/XML/1998/namespace"/>
    <ds:schemaRef ds:uri="http://purl.org/dc/dcmitype/"/>
    <ds:schemaRef ds:uri="df4c7a5c-b3a5-430e-9d0c-d059cdd3de81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402f4eb-4369-45b9-a3fa-7e608e4a8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1158</Words>
  <Characters>6948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SINOPSIS-ES</vt:lpstr>
      <vt:lpstr>NURETH12 Paper Template</vt:lpstr>
    </vt:vector>
  </TitlesOfParts>
  <Company>Sociedad Nuclear Española</Company>
  <LinksUpToDate>false</LinksUpToDate>
  <CharactersWithSpaces>8090</CharactersWithSpaces>
  <SharedDoc>false</SharedDoc>
  <HLinks>
    <vt:vector size="6" baseType="variant">
      <vt:variant>
        <vt:i4>2359338</vt:i4>
      </vt:variant>
      <vt:variant>
        <vt:i4>6298</vt:i4>
      </vt:variant>
      <vt:variant>
        <vt:i4>1026</vt:i4>
      </vt:variant>
      <vt:variant>
        <vt:i4>1</vt:i4>
      </vt:variant>
      <vt:variant>
        <vt:lpwstr>flow_regimes-48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SINOPSIS-ES</dc:title>
  <dc:creator>Comité Técnico de la Reunión Anual (CTRA) - Sociedad Nuclear Española</dc:creator>
  <cp:keywords>Reunión Anual Sociedad Nuclear Española</cp:keywords>
  <cp:lastModifiedBy>Duran Vinuesa, Luis</cp:lastModifiedBy>
  <cp:revision>88</cp:revision>
  <cp:lastPrinted>2015-01-21T18:58:00Z</cp:lastPrinted>
  <dcterms:created xsi:type="dcterms:W3CDTF">2021-08-05T17:19:00Z</dcterms:created>
  <dcterms:modified xsi:type="dcterms:W3CDTF">2026-02-23T10:47:00Z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0x010100C7861A199C7BEA45943306FCDDFAB236</vt:lpwstr>
  </property>
  <property fmtid="{D5CDD505-2E9C-101B-9397-08002B2CF9AE}" pid="3" name="GrammarlyDocumentId">
    <vt:lpwstr>583ef115d00da7928de473ec1543888a8a8283bfc18c1066df4713fc5bc36c73</vt:lpwstr>
  </property>
  <property fmtid="{D5CDD505-2E9C-101B-9397-08002B2CF9AE}" pid="4" name="MSIP_Label_1d7a6dd0-c16e-4aa6-8f26-3b824bf76858_Enabled">
    <vt:lpwstr>true</vt:lpwstr>
  </property>
  <property fmtid="{D5CDD505-2E9C-101B-9397-08002B2CF9AE}" pid="5" name="MSIP_Label_1d7a6dd0-c16e-4aa6-8f26-3b824bf76858_SetDate">
    <vt:lpwstr>2026-02-23T09:41:26Z</vt:lpwstr>
  </property>
  <property fmtid="{D5CDD505-2E9C-101B-9397-08002B2CF9AE}" pid="6" name="MSIP_Label_1d7a6dd0-c16e-4aa6-8f26-3b824bf76858_Method">
    <vt:lpwstr>Privileged</vt:lpwstr>
  </property>
  <property fmtid="{D5CDD505-2E9C-101B-9397-08002B2CF9AE}" pid="7" name="MSIP_Label_1d7a6dd0-c16e-4aa6-8f26-3b824bf76858_Name">
    <vt:lpwstr>Non-Proprietary Class 3</vt:lpwstr>
  </property>
  <property fmtid="{D5CDD505-2E9C-101B-9397-08002B2CF9AE}" pid="8" name="MSIP_Label_1d7a6dd0-c16e-4aa6-8f26-3b824bf76858_SiteId">
    <vt:lpwstr>516ec17a-b92f-438b-8594-e11b6f6bec79</vt:lpwstr>
  </property>
  <property fmtid="{D5CDD505-2E9C-101B-9397-08002B2CF9AE}" pid="9" name="MSIP_Label_1d7a6dd0-c16e-4aa6-8f26-3b824bf76858_ActionId">
    <vt:lpwstr>3b045069-3520-47ef-a46f-b7392e2859ff</vt:lpwstr>
  </property>
  <property fmtid="{D5CDD505-2E9C-101B-9397-08002B2CF9AE}" pid="10" name="MSIP_Label_1d7a6dd0-c16e-4aa6-8f26-3b824bf76858_ContentBits">
    <vt:lpwstr>0</vt:lpwstr>
  </property>
  <property fmtid="{D5CDD505-2E9C-101B-9397-08002B2CF9AE}" pid="11" name="MSIP_Label_1d7a6dd0-c16e-4aa6-8f26-3b824bf76858_Tag">
    <vt:lpwstr>10, 0, 1, 1</vt:lpwstr>
  </property>
  <property fmtid="{D5CDD505-2E9C-101B-9397-08002B2CF9AE}" pid="12" name="MediaServiceImageTags">
    <vt:lpwstr/>
  </property>
</Properties>
</file>